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after="313" w:afterLines="100" w:line="600" w:lineRule="exact"/>
        <w:jc w:val="center"/>
        <w:textAlignment w:val="auto"/>
        <w:rPr>
          <w:rFonts w:hint="eastAsia" w:ascii="仿宋" w:hAnsi="仿宋" w:eastAsia="方正小标宋简体"/>
          <w:sz w:val="44"/>
          <w:szCs w:val="44"/>
        </w:rPr>
      </w:pPr>
      <w:bookmarkStart w:id="0" w:name="_Toc9076"/>
      <w:r>
        <w:rPr>
          <w:rFonts w:hint="eastAsia" w:ascii="仿宋" w:hAnsi="仿宋" w:eastAsia="方正小标宋简体"/>
          <w:sz w:val="44"/>
          <w:szCs w:val="44"/>
          <w:lang w:val="en-US" w:eastAsia="zh-CN"/>
        </w:rPr>
        <w:t>青岛市</w:t>
      </w:r>
      <w:r>
        <w:rPr>
          <w:rFonts w:hint="eastAsia" w:ascii="仿宋" w:hAnsi="仿宋" w:eastAsia="方正小标宋简体"/>
          <w:sz w:val="44"/>
          <w:szCs w:val="44"/>
        </w:rPr>
        <w:t>中央生态环境保护督察</w:t>
      </w:r>
      <w:r>
        <w:rPr>
          <w:rFonts w:hint="eastAsia" w:ascii="仿宋" w:hAnsi="仿宋" w:eastAsia="方正小标宋简体"/>
          <w:sz w:val="44"/>
          <w:szCs w:val="44"/>
          <w:lang w:eastAsia="zh-CN"/>
        </w:rPr>
        <w:t>反馈意见正在</w:t>
      </w:r>
      <w:r>
        <w:rPr>
          <w:rFonts w:hint="eastAsia" w:ascii="仿宋" w:hAnsi="仿宋" w:eastAsia="方正小标宋简体"/>
          <w:sz w:val="44"/>
          <w:szCs w:val="44"/>
        </w:rPr>
        <w:t>整改任务推进情况表</w:t>
      </w:r>
      <w:bookmarkEnd w:id="0"/>
    </w:p>
    <w:tbl>
      <w:tblPr>
        <w:tblStyle w:val="4"/>
        <w:tblW w:w="13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755"/>
        <w:gridCol w:w="2674"/>
        <w:gridCol w:w="733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spacing w:line="360" w:lineRule="exact"/>
              <w:jc w:val="center"/>
              <w:rPr>
                <w:rFonts w:hint="eastAsia" w:ascii="仿宋" w:hAnsi="仿宋" w:eastAsia="黑体"/>
                <w:color w:val="auto"/>
                <w:sz w:val="22"/>
                <w:szCs w:val="22"/>
                <w:lang w:eastAsia="zh-CN"/>
              </w:rPr>
            </w:pPr>
            <w:r>
              <w:rPr>
                <w:rFonts w:hint="eastAsia" w:ascii="仿宋" w:hAnsi="仿宋" w:eastAsia="黑体"/>
                <w:color w:val="auto"/>
                <w:sz w:val="22"/>
                <w:szCs w:val="22"/>
                <w:lang w:eastAsia="zh-CN"/>
              </w:rPr>
              <w:t>任务</w:t>
            </w:r>
          </w:p>
          <w:p>
            <w:pPr>
              <w:spacing w:line="360" w:lineRule="exact"/>
              <w:jc w:val="center"/>
              <w:rPr>
                <w:rFonts w:hint="eastAsia" w:ascii="仿宋" w:hAnsi="仿宋" w:eastAsia="黑体"/>
                <w:sz w:val="22"/>
                <w:szCs w:val="22"/>
                <w:highlight w:val="none"/>
              </w:rPr>
            </w:pPr>
            <w:r>
              <w:rPr>
                <w:rFonts w:hint="eastAsia" w:ascii="仿宋" w:hAnsi="仿宋" w:eastAsia="黑体"/>
                <w:color w:val="auto"/>
                <w:sz w:val="22"/>
                <w:szCs w:val="22"/>
                <w:lang w:eastAsia="zh-CN"/>
              </w:rPr>
              <w:t>类别</w:t>
            </w:r>
          </w:p>
        </w:tc>
        <w:tc>
          <w:tcPr>
            <w:tcW w:w="755" w:type="dxa"/>
            <w:vAlign w:val="center"/>
          </w:tcPr>
          <w:p>
            <w:pPr>
              <w:spacing w:line="360" w:lineRule="exact"/>
              <w:jc w:val="center"/>
              <w:rPr>
                <w:rFonts w:hint="eastAsia" w:ascii="仿宋" w:hAnsi="仿宋" w:eastAsia="黑体"/>
                <w:color w:val="auto"/>
                <w:sz w:val="22"/>
                <w:szCs w:val="22"/>
                <w:lang w:eastAsia="zh-CN"/>
              </w:rPr>
            </w:pPr>
            <w:r>
              <w:rPr>
                <w:rFonts w:hint="eastAsia" w:ascii="仿宋" w:hAnsi="仿宋" w:eastAsia="黑体"/>
                <w:color w:val="auto"/>
                <w:sz w:val="22"/>
                <w:szCs w:val="22"/>
                <w:lang w:eastAsia="zh-CN"/>
              </w:rPr>
              <w:t>任务</w:t>
            </w:r>
          </w:p>
          <w:p>
            <w:pPr>
              <w:spacing w:line="360" w:lineRule="exact"/>
              <w:jc w:val="center"/>
              <w:rPr>
                <w:rFonts w:hint="eastAsia" w:ascii="仿宋" w:hAnsi="仿宋" w:eastAsia="黑体"/>
                <w:color w:val="auto"/>
                <w:sz w:val="22"/>
                <w:szCs w:val="22"/>
                <w:lang w:eastAsia="zh-CN"/>
              </w:rPr>
            </w:pPr>
            <w:r>
              <w:rPr>
                <w:rFonts w:hint="eastAsia" w:ascii="仿宋" w:hAnsi="仿宋" w:eastAsia="黑体"/>
                <w:color w:val="auto"/>
                <w:sz w:val="22"/>
                <w:szCs w:val="22"/>
                <w:lang w:eastAsia="zh-CN"/>
              </w:rPr>
              <w:t>编号</w:t>
            </w:r>
          </w:p>
        </w:tc>
        <w:tc>
          <w:tcPr>
            <w:tcW w:w="2674" w:type="dxa"/>
            <w:vAlign w:val="center"/>
          </w:tcPr>
          <w:p>
            <w:pPr>
              <w:spacing w:line="360" w:lineRule="exact"/>
              <w:jc w:val="center"/>
              <w:rPr>
                <w:rFonts w:hint="eastAsia" w:ascii="仿宋" w:hAnsi="仿宋" w:eastAsia="黑体"/>
                <w:b w:val="0"/>
                <w:bCs w:val="0"/>
                <w:color w:val="auto"/>
                <w:sz w:val="22"/>
                <w:szCs w:val="22"/>
                <w:lang w:eastAsia="zh-CN"/>
              </w:rPr>
            </w:pPr>
            <w:r>
              <w:rPr>
                <w:rFonts w:hint="eastAsia" w:ascii="仿宋" w:hAnsi="仿宋" w:eastAsia="黑体"/>
                <w:b w:val="0"/>
                <w:bCs w:val="0"/>
                <w:color w:val="auto"/>
                <w:sz w:val="22"/>
                <w:szCs w:val="22"/>
                <w:highlight w:val="none"/>
                <w:lang w:eastAsia="zh-CN"/>
              </w:rPr>
              <w:t>反馈问题</w:t>
            </w:r>
          </w:p>
        </w:tc>
        <w:tc>
          <w:tcPr>
            <w:tcW w:w="7338" w:type="dxa"/>
            <w:vAlign w:val="center"/>
          </w:tcPr>
          <w:p>
            <w:pPr>
              <w:spacing w:line="360" w:lineRule="exact"/>
              <w:jc w:val="center"/>
              <w:rPr>
                <w:rFonts w:hint="eastAsia" w:ascii="仿宋" w:hAnsi="仿宋" w:eastAsia="黑体"/>
                <w:b w:val="0"/>
                <w:bCs w:val="0"/>
                <w:color w:val="auto"/>
                <w:sz w:val="22"/>
                <w:szCs w:val="22"/>
                <w:lang w:eastAsia="zh-CN"/>
              </w:rPr>
            </w:pPr>
            <w:r>
              <w:rPr>
                <w:rFonts w:hint="eastAsia" w:ascii="仿宋" w:hAnsi="仿宋" w:eastAsia="黑体"/>
                <w:b w:val="0"/>
                <w:bCs w:val="0"/>
                <w:color w:val="auto"/>
                <w:sz w:val="22"/>
                <w:szCs w:val="22"/>
                <w:lang w:eastAsia="zh-CN"/>
              </w:rPr>
              <w:t>目前进展情况</w:t>
            </w:r>
          </w:p>
        </w:tc>
        <w:tc>
          <w:tcPr>
            <w:tcW w:w="1781" w:type="dxa"/>
            <w:vAlign w:val="center"/>
          </w:tcPr>
          <w:p>
            <w:pPr>
              <w:spacing w:line="360" w:lineRule="exact"/>
              <w:jc w:val="center"/>
              <w:rPr>
                <w:rFonts w:hint="eastAsia" w:ascii="仿宋_GB2312" w:hAnsi="仿宋_GB2312" w:eastAsia="仿宋_GB2312" w:cs="仿宋_GB2312"/>
                <w:color w:val="auto"/>
                <w:sz w:val="21"/>
                <w:szCs w:val="21"/>
                <w:lang w:eastAsia="zh-CN"/>
              </w:rPr>
            </w:pPr>
            <w:r>
              <w:rPr>
                <w:rFonts w:hint="eastAsia" w:ascii="仿宋" w:hAnsi="仿宋" w:eastAsia="黑体"/>
                <w:color w:val="auto"/>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pStyle w:val="2"/>
              <w:spacing w:beforeLines="0" w:afterLines="0" w:line="300" w:lineRule="exact"/>
              <w:ind w:firstLine="0" w:firstLineChars="0"/>
              <w:jc w:val="center"/>
              <w:rPr>
                <w:rFonts w:hint="eastAsia" w:ascii="仿宋" w:hAnsi="仿宋" w:eastAsia="黑体" w:cs="仿宋"/>
                <w:sz w:val="21"/>
                <w:szCs w:val="21"/>
                <w:highlight w:val="none"/>
              </w:rPr>
            </w:pPr>
            <w:r>
              <w:rPr>
                <w:rFonts w:hint="eastAsia" w:ascii="仿宋_GB2312" w:eastAsia="仿宋_GB2312"/>
                <w:color w:val="auto"/>
                <w:sz w:val="21"/>
                <w:szCs w:val="21"/>
                <w:lang w:eastAsia="zh-CN"/>
              </w:rPr>
              <w:t>第二轮中央生态环境保护督察</w:t>
            </w:r>
          </w:p>
        </w:tc>
        <w:tc>
          <w:tcPr>
            <w:tcW w:w="755" w:type="dxa"/>
            <w:vAlign w:val="center"/>
          </w:tcPr>
          <w:p>
            <w:pPr>
              <w:spacing w:line="300" w:lineRule="exact"/>
              <w:jc w:val="center"/>
              <w:rPr>
                <w:rFonts w:hint="eastAsia" w:ascii="仿宋" w:hAnsi="仿宋" w:eastAsia="黑体" w:cs="黑体"/>
                <w:kern w:val="2"/>
                <w:sz w:val="21"/>
                <w:szCs w:val="21"/>
                <w:highlight w:val="none"/>
                <w:lang w:val="en-US" w:eastAsia="zh-CN" w:bidi="ar-SA"/>
              </w:rPr>
            </w:pPr>
            <w:r>
              <w:rPr>
                <w:rFonts w:hint="eastAsia" w:ascii="仿宋" w:hAnsi="仿宋" w:eastAsia="黑体" w:cs="仿宋"/>
                <w:sz w:val="21"/>
                <w:szCs w:val="21"/>
                <w:highlight w:val="none"/>
              </w:rPr>
              <w:t>15</w:t>
            </w:r>
          </w:p>
        </w:tc>
        <w:tc>
          <w:tcPr>
            <w:tcW w:w="2674" w:type="dxa"/>
            <w:vAlign w:val="center"/>
          </w:tcPr>
          <w:p>
            <w:pPr>
              <w:spacing w:line="300" w:lineRule="exact"/>
              <w:rPr>
                <w:rFonts w:hint="eastAsia" w:ascii="仿宋" w:hAnsi="仿宋" w:eastAsia="黑体" w:cs="黑体"/>
                <w:kern w:val="2"/>
                <w:sz w:val="21"/>
                <w:szCs w:val="21"/>
                <w:highlight w:val="none"/>
                <w:lang w:val="en-US" w:eastAsia="zh-CN" w:bidi="ar-SA"/>
              </w:rPr>
            </w:pPr>
            <w:r>
              <w:rPr>
                <w:rFonts w:hint="eastAsia" w:ascii="仿宋_GB2312" w:hAnsi="仿宋_GB2312" w:eastAsia="仿宋_GB2312" w:cs="仿宋_GB2312"/>
                <w:bCs/>
                <w:kern w:val="0"/>
                <w:sz w:val="21"/>
                <w:szCs w:val="21"/>
                <w:highlight w:val="none"/>
              </w:rPr>
              <w:t>督察整改不彻底。第一轮督察及“回头看”均指出山东省减煤工作不到位的问题。一些地方整改工作不从优化能源结构入手，反而在统计口径上作表面文章。部分企业为完成减煤任务，用兰炭等高污染燃料替代煤炭，以减少统计数据中的“煤炭消费量”，背离减煤工作初衷。2020年，全省236家规模以上企业通过“兰炭替代”方式进行减煤，共使用兰炭1122万吨。</w:t>
            </w:r>
          </w:p>
        </w:tc>
        <w:tc>
          <w:tcPr>
            <w:tcW w:w="7338" w:type="dxa"/>
            <w:vAlign w:val="center"/>
          </w:tcPr>
          <w:p>
            <w:pPr>
              <w:numPr>
                <w:ilvl w:val="0"/>
                <w:numId w:val="1"/>
              </w:numPr>
              <w:spacing w:line="300" w:lineRule="exact"/>
              <w:rPr>
                <w:rFonts w:hint="eastAsia" w:ascii="仿宋_GB2312" w:hAnsi="仿宋_GB2312" w:eastAsia="仿宋_GB2312" w:cs="仿宋_GB2312"/>
                <w:bCs/>
                <w:kern w:val="0"/>
                <w:sz w:val="21"/>
                <w:szCs w:val="21"/>
                <w:highlight w:val="none"/>
              </w:rPr>
            </w:pPr>
            <w:r>
              <w:rPr>
                <w:rFonts w:hint="eastAsia" w:ascii="仿宋_GB2312" w:hAnsi="仿宋_GB2312" w:eastAsia="仿宋_GB2312" w:cs="仿宋_GB2312"/>
                <w:bCs/>
                <w:kern w:val="0"/>
                <w:sz w:val="21"/>
                <w:szCs w:val="21"/>
                <w:highlight w:val="none"/>
              </w:rPr>
              <w:t>统筹做好煤炭消费压减与稳增长、保民生工作，2021年8月9日，青岛市发改委等六部门联合印发实施《青岛市煤炭消费压减工作行动方案（2021-2022年）》（青发改环资〔2021〕199号），进一步减少煤炭消费。</w:t>
            </w:r>
            <w:r>
              <w:rPr>
                <w:rFonts w:hint="eastAsia" w:ascii="仿宋_GB2312" w:hAnsi="仿宋_GB2312" w:eastAsia="仿宋_GB2312" w:cs="仿宋_GB2312"/>
                <w:b w:val="0"/>
                <w:bCs/>
                <w:kern w:val="0"/>
                <w:sz w:val="21"/>
                <w:szCs w:val="21"/>
                <w:highlight w:val="none"/>
                <w:lang w:val="en-US" w:eastAsia="zh-CN"/>
              </w:rPr>
              <w:t>2.</w:t>
            </w:r>
            <w:r>
              <w:rPr>
                <w:rFonts w:hint="eastAsia" w:ascii="仿宋_GB2312" w:hAnsi="仿宋_GB2312" w:eastAsia="仿宋_GB2312" w:cs="仿宋_GB2312"/>
                <w:b w:val="0"/>
                <w:bCs/>
                <w:kern w:val="0"/>
                <w:sz w:val="21"/>
                <w:szCs w:val="21"/>
                <w:highlight w:val="none"/>
              </w:rPr>
              <w:t>推进低碳能源替代高碳能源。以风电、光伏发电为重点，以生物质能等为补充，大力发展可再生能源。2023年，新能源发电装机达到482万千瓦，占全市发电总装机的50.2%</w:t>
            </w:r>
            <w:r>
              <w:rPr>
                <w:rFonts w:hint="eastAsia" w:ascii="仿宋_GB2312" w:hAnsi="仿宋_GB2312" w:eastAsia="仿宋_GB2312" w:cs="仿宋_GB2312"/>
                <w:b w:val="0"/>
                <w:bCs/>
                <w:kern w:val="0"/>
                <w:sz w:val="21"/>
                <w:szCs w:val="21"/>
                <w:highlight w:val="none"/>
                <w:lang w:eastAsia="zh-CN"/>
              </w:rPr>
              <w:t>。</w:t>
            </w:r>
          </w:p>
          <w:p>
            <w:pPr>
              <w:numPr>
                <w:ilvl w:val="0"/>
                <w:numId w:val="0"/>
              </w:numPr>
              <w:spacing w:line="300" w:lineRule="exact"/>
              <w:rPr>
                <w:rFonts w:hint="eastAsia" w:ascii="仿宋_GB2312" w:hAnsi="仿宋_GB2312" w:eastAsia="仿宋_GB2312" w:cs="仿宋_GB2312"/>
                <w:bCs/>
                <w:kern w:val="0"/>
                <w:sz w:val="21"/>
                <w:szCs w:val="21"/>
                <w:highlight w:val="none"/>
              </w:rPr>
            </w:pPr>
            <w:r>
              <w:rPr>
                <w:rFonts w:hint="eastAsia" w:ascii="仿宋_GB2312" w:hAnsi="仿宋_GB2312" w:eastAsia="仿宋_GB2312" w:cs="仿宋_GB2312"/>
                <w:bCs/>
                <w:kern w:val="0"/>
                <w:sz w:val="21"/>
                <w:szCs w:val="21"/>
                <w:highlight w:val="none"/>
                <w:lang w:val="en-US" w:eastAsia="zh-CN"/>
              </w:rPr>
              <w:t>3.</w:t>
            </w:r>
            <w:r>
              <w:rPr>
                <w:rFonts w:hint="eastAsia" w:ascii="仿宋_GB2312" w:hAnsi="仿宋_GB2312" w:eastAsia="仿宋_GB2312" w:cs="仿宋_GB2312"/>
                <w:bCs/>
                <w:kern w:val="0"/>
                <w:sz w:val="21"/>
                <w:szCs w:val="21"/>
                <w:highlight w:val="none"/>
              </w:rPr>
              <w:t>2020年，全市有8家企业将兰炭用作燃料，用量约3.87万吨，所有企业2021年均已停止使用。</w:t>
            </w:r>
            <w:r>
              <w:rPr>
                <w:rFonts w:hint="eastAsia" w:ascii="仿宋_GB2312" w:hAnsi="仿宋_GB2312" w:eastAsia="仿宋_GB2312" w:cs="仿宋_GB2312"/>
                <w:kern w:val="0"/>
                <w:sz w:val="21"/>
                <w:szCs w:val="21"/>
                <w:highlight w:val="none"/>
              </w:rPr>
              <w:t>构建市、区两级联合监管体系，对使用兰炭作为原料的1家企业（青特钢）实行月调度，督促企业如实填报使用数量</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2022年，青特钢兰炭消费量为0.22万吨</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2023年以来，青特钢未继续使用兰炭。</w:t>
            </w:r>
            <w:r>
              <w:rPr>
                <w:rFonts w:hint="eastAsia" w:ascii="仿宋_GB2312" w:hAnsi="仿宋_GB2312" w:eastAsia="仿宋_GB2312" w:cs="仿宋_GB2312"/>
                <w:bCs/>
                <w:kern w:val="0"/>
                <w:sz w:val="21"/>
                <w:szCs w:val="21"/>
                <w:highlight w:val="none"/>
              </w:rPr>
              <w:t>按照《山东省固定资产投资项目能源和煤炭消费减量替代管理办法》，对于新上兰炭项目参照耗煤项目管理，严格落实减量替代要求</w:t>
            </w:r>
            <w:r>
              <w:rPr>
                <w:rFonts w:hint="eastAsia" w:ascii="仿宋_GB2312" w:hAnsi="仿宋_GB2312" w:eastAsia="仿宋_GB2312" w:cs="仿宋_GB2312"/>
                <w:bCs/>
                <w:kern w:val="0"/>
                <w:sz w:val="21"/>
                <w:szCs w:val="21"/>
                <w:highlight w:val="none"/>
                <w:lang w:eastAsia="zh-CN"/>
              </w:rPr>
              <w:t>，</w:t>
            </w:r>
            <w:r>
              <w:rPr>
                <w:rFonts w:hint="eastAsia" w:ascii="仿宋_GB2312" w:hAnsi="仿宋_GB2312" w:eastAsia="仿宋_GB2312" w:cs="仿宋_GB2312"/>
                <w:bCs/>
                <w:kern w:val="0"/>
                <w:sz w:val="21"/>
                <w:szCs w:val="21"/>
                <w:highlight w:val="none"/>
              </w:rPr>
              <w:t>截至目前，青岛市未审批新上兰炭项目。</w:t>
            </w:r>
          </w:p>
          <w:p>
            <w:pPr>
              <w:numPr>
                <w:ilvl w:val="0"/>
                <w:numId w:val="0"/>
              </w:numPr>
              <w:spacing w:line="300" w:lineRule="exact"/>
              <w:ind w:left="0" w:leftChars="0" w:firstLine="0" w:firstLineChars="0"/>
              <w:rPr>
                <w:rFonts w:hint="eastAsia" w:ascii="仿宋" w:hAnsi="仿宋" w:eastAsia="黑体" w:cs="黑体"/>
                <w:kern w:val="2"/>
                <w:sz w:val="21"/>
                <w:szCs w:val="21"/>
                <w:highlight w:val="none"/>
                <w:lang w:val="en-US" w:eastAsia="zh-CN" w:bidi="ar-SA"/>
              </w:rPr>
            </w:pPr>
            <w:r>
              <w:rPr>
                <w:rFonts w:hint="eastAsia" w:ascii="仿宋_GB2312" w:hAnsi="仿宋_GB2312" w:eastAsia="仿宋_GB2312" w:cs="仿宋_GB2312"/>
                <w:b w:val="0"/>
                <w:bCs/>
                <w:kern w:val="0"/>
                <w:sz w:val="21"/>
                <w:szCs w:val="21"/>
                <w:highlight w:val="none"/>
                <w:lang w:val="en-US" w:eastAsia="zh-CN"/>
              </w:rPr>
              <w:t>4.</w:t>
            </w:r>
            <w:r>
              <w:rPr>
                <w:rFonts w:hint="eastAsia" w:ascii="仿宋_GB2312" w:hAnsi="仿宋_GB2312" w:eastAsia="仿宋_GB2312" w:cs="仿宋_GB2312"/>
                <w:b w:val="0"/>
                <w:bCs/>
                <w:kern w:val="0"/>
                <w:sz w:val="21"/>
                <w:szCs w:val="21"/>
                <w:highlight w:val="none"/>
              </w:rPr>
              <w:t>按照国务院《</w:t>
            </w:r>
            <w:r>
              <w:rPr>
                <w:rFonts w:hint="eastAsia" w:ascii="仿宋_GB2312" w:hAnsi="仿宋_GB2312" w:eastAsia="仿宋_GB2312" w:cs="仿宋_GB2312"/>
                <w:b w:val="0"/>
                <w:bCs/>
                <w:kern w:val="0"/>
                <w:sz w:val="21"/>
                <w:szCs w:val="21"/>
                <w:highlight w:val="none"/>
                <w:lang w:val="en-US" w:eastAsia="zh-CN"/>
              </w:rPr>
              <w:t>空气</w:t>
            </w:r>
            <w:r>
              <w:rPr>
                <w:rFonts w:hint="eastAsia" w:ascii="仿宋_GB2312" w:hAnsi="仿宋_GB2312" w:eastAsia="仿宋_GB2312" w:cs="仿宋_GB2312"/>
                <w:b w:val="0"/>
                <w:bCs/>
                <w:kern w:val="0"/>
                <w:sz w:val="21"/>
                <w:szCs w:val="21"/>
                <w:highlight w:val="none"/>
              </w:rPr>
              <w:t>质量改善行动计划》（国发〔2023〕245号）、省发展改革委《关于进一步优化完善能耗双控制度保障经济社会发展合理用能的通知》（鲁发改环资〔2023〕765号），青岛市不属于重点区域，不再实施煤炭消费总量控制，新建、改建、扩建耗煤项目不再需要落实煤炭消费减量替代。按照</w:t>
            </w:r>
            <w:r>
              <w:rPr>
                <w:rFonts w:hint="eastAsia" w:ascii="仿宋_GB2312" w:hAnsi="仿宋_GB2312" w:eastAsia="仿宋_GB2312" w:cs="仿宋_GB2312"/>
                <w:b w:val="0"/>
                <w:bCs/>
                <w:kern w:val="0"/>
                <w:sz w:val="21"/>
                <w:szCs w:val="21"/>
                <w:highlight w:val="none"/>
                <w:lang w:eastAsia="zh-CN"/>
              </w:rPr>
              <w:t>有关</w:t>
            </w:r>
            <w:r>
              <w:rPr>
                <w:rFonts w:hint="eastAsia" w:ascii="仿宋_GB2312" w:hAnsi="仿宋_GB2312" w:eastAsia="仿宋_GB2312" w:cs="仿宋_GB2312"/>
                <w:b w:val="0"/>
                <w:bCs/>
                <w:kern w:val="0"/>
                <w:sz w:val="21"/>
                <w:szCs w:val="21"/>
                <w:highlight w:val="none"/>
              </w:rPr>
              <w:t>要求，对于新上兰炭项目参照耗煤项目管理，不再进行减量替代。实施新上固定资产投资项目节能审查，</w:t>
            </w:r>
            <w:r>
              <w:rPr>
                <w:rFonts w:hint="eastAsia" w:ascii="仿宋_GB2312" w:hAnsi="仿宋_GB2312" w:eastAsia="仿宋_GB2312" w:cs="仿宋_GB2312"/>
                <w:b w:val="0"/>
                <w:bCs/>
                <w:kern w:val="0"/>
                <w:sz w:val="21"/>
                <w:szCs w:val="21"/>
                <w:highlight w:val="none"/>
                <w:lang w:eastAsia="zh-CN"/>
              </w:rPr>
              <w:t>如</w:t>
            </w:r>
            <w:r>
              <w:rPr>
                <w:rFonts w:hint="eastAsia" w:ascii="仿宋_GB2312" w:hAnsi="仿宋_GB2312" w:eastAsia="仿宋_GB2312" w:cs="仿宋_GB2312"/>
                <w:b w:val="0"/>
                <w:bCs/>
                <w:kern w:val="0"/>
                <w:sz w:val="21"/>
                <w:szCs w:val="21"/>
                <w:highlight w:val="none"/>
              </w:rPr>
              <w:t>新上兰炭项目</w:t>
            </w:r>
            <w:r>
              <w:rPr>
                <w:rFonts w:hint="eastAsia" w:ascii="仿宋_GB2312" w:hAnsi="仿宋_GB2312" w:eastAsia="仿宋_GB2312" w:cs="仿宋_GB2312"/>
                <w:b w:val="0"/>
                <w:bCs/>
                <w:kern w:val="0"/>
                <w:sz w:val="21"/>
                <w:szCs w:val="21"/>
                <w:highlight w:val="none"/>
                <w:lang w:eastAsia="zh-CN"/>
              </w:rPr>
              <w:t>将</w:t>
            </w:r>
            <w:r>
              <w:rPr>
                <w:rFonts w:hint="eastAsia" w:ascii="仿宋_GB2312" w:hAnsi="仿宋_GB2312" w:eastAsia="仿宋_GB2312" w:cs="仿宋_GB2312"/>
                <w:b w:val="0"/>
                <w:bCs/>
                <w:kern w:val="0"/>
                <w:sz w:val="21"/>
                <w:szCs w:val="21"/>
                <w:highlight w:val="none"/>
              </w:rPr>
              <w:t>确保达到国家和省煤炭清洁高效利用重点领域标杆水平以上。</w:t>
            </w:r>
          </w:p>
        </w:tc>
        <w:tc>
          <w:tcPr>
            <w:tcW w:w="1781" w:type="dxa"/>
            <w:vAlign w:val="center"/>
          </w:tcPr>
          <w:p>
            <w:pPr>
              <w:numPr>
                <w:ilvl w:val="0"/>
                <w:numId w:val="0"/>
              </w:numPr>
              <w:spacing w:line="300" w:lineRule="exact"/>
              <w:ind w:left="0" w:leftChars="0" w:firstLine="0" w:firstLineChars="0"/>
              <w:jc w:val="center"/>
              <w:rPr>
                <w:rFonts w:hint="eastAsia" w:ascii="仿宋_GB2312" w:hAnsi="仿宋_GB2312" w:eastAsia="仿宋_GB2312" w:cs="仿宋_GB2312"/>
                <w:b w:val="0"/>
                <w:bCs/>
                <w:kern w:val="0"/>
                <w:sz w:val="21"/>
                <w:szCs w:val="21"/>
                <w:highlight w:val="none"/>
                <w:lang w:val="en-US" w:eastAsia="zh-CN"/>
              </w:rPr>
            </w:pPr>
            <w:r>
              <w:rPr>
                <w:rFonts w:hint="eastAsia" w:ascii="仿宋_GB2312" w:hAnsi="仿宋_GB2312" w:eastAsia="仿宋_GB2312" w:cs="仿宋_GB2312"/>
                <w:b w:val="0"/>
                <w:bCs/>
                <w:kern w:val="0"/>
                <w:sz w:val="21"/>
                <w:szCs w:val="21"/>
                <w:highlight w:val="none"/>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pStyle w:val="2"/>
              <w:spacing w:beforeLines="0" w:afterLines="0" w:line="300" w:lineRule="exact"/>
              <w:ind w:firstLine="0" w:firstLineChars="0"/>
              <w:jc w:val="center"/>
              <w:rPr>
                <w:rFonts w:hint="eastAsia" w:ascii="仿宋" w:hAnsi="仿宋" w:eastAsia="黑体" w:cs="仿宋"/>
                <w:sz w:val="21"/>
                <w:szCs w:val="21"/>
                <w:highlight w:val="none"/>
              </w:rPr>
            </w:pPr>
            <w:r>
              <w:rPr>
                <w:rFonts w:hint="eastAsia" w:ascii="仿宋_GB2312" w:eastAsia="仿宋_GB2312"/>
                <w:color w:val="auto"/>
                <w:sz w:val="21"/>
                <w:szCs w:val="21"/>
                <w:lang w:eastAsia="zh-CN"/>
              </w:rPr>
              <w:t>第二轮中央生态环境保护督察</w:t>
            </w:r>
          </w:p>
        </w:tc>
        <w:tc>
          <w:tcPr>
            <w:tcW w:w="755" w:type="dxa"/>
            <w:vAlign w:val="center"/>
          </w:tcPr>
          <w:p>
            <w:pPr>
              <w:spacing w:line="300" w:lineRule="exact"/>
              <w:jc w:val="center"/>
              <w:rPr>
                <w:rFonts w:hint="eastAsia" w:ascii="仿宋" w:hAnsi="仿宋" w:eastAsia="黑体" w:cs="黑体"/>
                <w:kern w:val="2"/>
                <w:sz w:val="21"/>
                <w:szCs w:val="21"/>
                <w:highlight w:val="none"/>
                <w:lang w:val="en-US" w:eastAsia="zh-CN" w:bidi="ar-SA"/>
              </w:rPr>
            </w:pPr>
            <w:r>
              <w:rPr>
                <w:rFonts w:hint="eastAsia" w:ascii="仿宋" w:hAnsi="仿宋" w:eastAsia="黑体" w:cs="仿宋"/>
                <w:sz w:val="21"/>
                <w:szCs w:val="21"/>
                <w:highlight w:val="none"/>
              </w:rPr>
              <w:t>18</w:t>
            </w:r>
          </w:p>
        </w:tc>
        <w:tc>
          <w:tcPr>
            <w:tcW w:w="2674" w:type="dxa"/>
            <w:vAlign w:val="center"/>
          </w:tcPr>
          <w:p>
            <w:pPr>
              <w:spacing w:line="300" w:lineRule="exact"/>
              <w:rPr>
                <w:rFonts w:hint="eastAsia" w:ascii="仿宋" w:hAnsi="仿宋" w:eastAsia="黑体" w:cs="黑体"/>
                <w:kern w:val="2"/>
                <w:sz w:val="21"/>
                <w:szCs w:val="21"/>
                <w:highlight w:val="none"/>
                <w:lang w:val="en-US" w:eastAsia="zh-CN" w:bidi="ar-SA"/>
              </w:rPr>
            </w:pPr>
            <w:r>
              <w:rPr>
                <w:rFonts w:hint="eastAsia" w:ascii="仿宋_GB2312" w:hAnsi="仿宋_GB2312" w:eastAsia="仿宋_GB2312" w:cs="仿宋_GB2312"/>
                <w:bCs/>
                <w:kern w:val="0"/>
                <w:sz w:val="21"/>
                <w:szCs w:val="21"/>
                <w:highlight w:val="none"/>
              </w:rPr>
              <w:t>黄河流域生态保护仍有差距。山东省作为黄河流域经济和人口大省，理应在黄河流域生态保护和高质量发展上作出表率，但一些地方和部门“以水而定、量水而行”理念树得不牢，水资源保护与利用方面问题突出。</w:t>
            </w:r>
          </w:p>
        </w:tc>
        <w:tc>
          <w:tcPr>
            <w:tcW w:w="7338" w:type="dxa"/>
            <w:vAlign w:val="center"/>
          </w:tcPr>
          <w:p>
            <w:pPr>
              <w:spacing w:line="300" w:lineRule="exact"/>
              <w:rPr>
                <w:rFonts w:hint="eastAsia" w:ascii="仿宋_GB2312" w:hAnsi="仿宋_GB2312" w:eastAsia="仿宋_GB2312" w:cs="仿宋_GB2312"/>
                <w:b/>
                <w:bCs w:val="0"/>
                <w:kern w:val="0"/>
                <w:sz w:val="21"/>
                <w:szCs w:val="21"/>
                <w:highlight w:val="none"/>
              </w:rPr>
            </w:pPr>
            <w:r>
              <w:rPr>
                <w:rFonts w:hint="eastAsia" w:ascii="仿宋_GB2312" w:hAnsi="仿宋_GB2312" w:eastAsia="仿宋_GB2312" w:cs="仿宋_GB2312"/>
                <w:bCs/>
                <w:kern w:val="0"/>
                <w:sz w:val="21"/>
                <w:szCs w:val="21"/>
                <w:highlight w:val="none"/>
              </w:rPr>
              <w:t>1.2022年5月9日，青岛市推进黄河流域生态保护和高质量发展领导小组办公室印发《青岛市“十四五”推动黄河流域生态保护和高质量发展实施方案》，明确了6大重点任务38条推进措施，确定了19项主要指标。</w:t>
            </w:r>
            <w:r>
              <w:rPr>
                <w:rFonts w:hint="eastAsia" w:ascii="仿宋_GB2312" w:hAnsi="仿宋_GB2312" w:eastAsia="仿宋_GB2312" w:cs="仿宋_GB2312"/>
                <w:b w:val="0"/>
                <w:bCs/>
                <w:kern w:val="0"/>
                <w:sz w:val="21"/>
                <w:szCs w:val="21"/>
                <w:highlight w:val="none"/>
              </w:rPr>
              <w:t>全方位贯彻“四水四定”原则，制定</w:t>
            </w:r>
            <w:r>
              <w:rPr>
                <w:rFonts w:hint="eastAsia" w:ascii="仿宋_GB2312" w:hAnsi="仿宋_GB2312" w:eastAsia="仿宋_GB2312" w:cs="仿宋_GB2312"/>
                <w:b w:val="0"/>
                <w:bCs/>
                <w:kern w:val="0"/>
                <w:sz w:val="21"/>
                <w:szCs w:val="21"/>
                <w:highlight w:val="none"/>
                <w:lang w:eastAsia="zh-CN"/>
              </w:rPr>
              <w:t>各区（市）</w:t>
            </w:r>
            <w:r>
              <w:rPr>
                <w:rFonts w:hint="eastAsia" w:ascii="仿宋_GB2312" w:hAnsi="仿宋_GB2312" w:eastAsia="仿宋_GB2312" w:cs="仿宋_GB2312"/>
                <w:b w:val="0"/>
                <w:bCs/>
                <w:kern w:val="0"/>
                <w:sz w:val="21"/>
                <w:szCs w:val="21"/>
                <w:highlight w:val="none"/>
              </w:rPr>
              <w:t>年度用水总量和用水效率控制目标</w:t>
            </w:r>
            <w:r>
              <w:rPr>
                <w:rFonts w:hint="eastAsia" w:ascii="仿宋_GB2312" w:hAnsi="仿宋_GB2312" w:eastAsia="仿宋_GB2312" w:cs="仿宋_GB2312"/>
                <w:b w:val="0"/>
                <w:bCs/>
                <w:kern w:val="0"/>
                <w:sz w:val="21"/>
                <w:szCs w:val="21"/>
                <w:highlight w:val="none"/>
                <w:lang w:eastAsia="zh-CN"/>
              </w:rPr>
              <w:t>，</w:t>
            </w:r>
            <w:r>
              <w:rPr>
                <w:rFonts w:hint="eastAsia" w:ascii="仿宋_GB2312" w:hAnsi="仿宋_GB2312" w:eastAsia="仿宋_GB2312" w:cs="仿宋_GB2312"/>
                <w:b w:val="0"/>
                <w:bCs/>
                <w:color w:val="auto"/>
                <w:kern w:val="0"/>
                <w:sz w:val="21"/>
                <w:szCs w:val="21"/>
                <w:highlight w:val="none"/>
              </w:rPr>
              <w:t>实施大沽河水量调度。</w:t>
            </w:r>
            <w:r>
              <w:rPr>
                <w:rFonts w:hint="eastAsia" w:ascii="仿宋_GB2312" w:hAnsi="仿宋_GB2312" w:eastAsia="仿宋_GB2312" w:cs="仿宋_GB2312"/>
                <w:b w:val="0"/>
                <w:bCs/>
                <w:kern w:val="0"/>
                <w:sz w:val="21"/>
                <w:szCs w:val="21"/>
                <w:highlight w:val="none"/>
              </w:rPr>
              <w:t>对全市所有取用水用户下达2024年取水计划，对2023年超计划超许可问题督促整改。</w:t>
            </w:r>
          </w:p>
          <w:p>
            <w:pPr>
              <w:spacing w:line="300" w:lineRule="exact"/>
              <w:rPr>
                <w:rFonts w:hint="eastAsia" w:ascii="仿宋_GB2312" w:hAnsi="仿宋_GB2312" w:eastAsia="仿宋_GB2312" w:cs="仿宋_GB2312"/>
                <w:b w:val="0"/>
                <w:bCs/>
                <w:kern w:val="0"/>
                <w:sz w:val="21"/>
                <w:szCs w:val="21"/>
                <w:highlight w:val="none"/>
              </w:rPr>
            </w:pPr>
            <w:r>
              <w:rPr>
                <w:rFonts w:hint="eastAsia" w:ascii="仿宋_GB2312" w:hAnsi="仿宋_GB2312" w:eastAsia="仿宋_GB2312" w:cs="仿宋_GB2312"/>
                <w:b w:val="0"/>
                <w:bCs/>
                <w:kern w:val="0"/>
                <w:sz w:val="21"/>
                <w:szCs w:val="21"/>
                <w:highlight w:val="none"/>
                <w:lang w:val="en-US" w:eastAsia="zh-CN"/>
              </w:rPr>
              <w:t>2.</w:t>
            </w:r>
            <w:r>
              <w:rPr>
                <w:rFonts w:hint="eastAsia" w:ascii="仿宋_GB2312" w:hAnsi="仿宋_GB2312" w:eastAsia="仿宋_GB2312" w:cs="仿宋_GB2312"/>
                <w:b w:val="0"/>
                <w:bCs/>
                <w:kern w:val="0"/>
                <w:sz w:val="21"/>
                <w:szCs w:val="21"/>
                <w:highlight w:val="none"/>
              </w:rPr>
              <w:t>完成水资源税远程在线监控能力建设项目，持续推动水资源管理</w:t>
            </w:r>
            <w:r>
              <w:rPr>
                <w:rFonts w:hint="eastAsia" w:ascii="仿宋_GB2312" w:hAnsi="仿宋_GB2312" w:eastAsia="仿宋_GB2312" w:cs="仿宋_GB2312"/>
                <w:b w:val="0"/>
                <w:bCs/>
                <w:kern w:val="0"/>
                <w:sz w:val="21"/>
                <w:szCs w:val="21"/>
                <w:highlight w:val="none"/>
                <w:lang w:val="en-US" w:eastAsia="zh-CN"/>
              </w:rPr>
              <w:t>提质</w:t>
            </w:r>
            <w:r>
              <w:rPr>
                <w:rFonts w:hint="eastAsia" w:ascii="仿宋_GB2312" w:hAnsi="仿宋_GB2312" w:eastAsia="仿宋_GB2312" w:cs="仿宋_GB2312"/>
                <w:b w:val="0"/>
                <w:bCs/>
                <w:kern w:val="0"/>
                <w:sz w:val="21"/>
                <w:szCs w:val="21"/>
                <w:highlight w:val="none"/>
              </w:rPr>
              <w:t>增效，圆满完成取用水专项整治行动，全面核查登记取水口2.7万余个，形成全市取水口问题及整改情况台账和取水</w:t>
            </w:r>
            <w:bookmarkStart w:id="1" w:name="_GoBack"/>
            <w:bookmarkEnd w:id="1"/>
            <w:r>
              <w:rPr>
                <w:rFonts w:hint="eastAsia" w:ascii="仿宋_GB2312" w:hAnsi="仿宋_GB2312" w:eastAsia="仿宋_GB2312" w:cs="仿宋_GB2312"/>
                <w:b w:val="0"/>
                <w:bCs/>
                <w:kern w:val="0"/>
                <w:sz w:val="21"/>
                <w:szCs w:val="21"/>
                <w:highlight w:val="none"/>
              </w:rPr>
              <w:t>口分布图，定期对取水口进行核查，实现取水口动态监管。</w:t>
            </w:r>
          </w:p>
          <w:p>
            <w:pPr>
              <w:spacing w:line="300" w:lineRule="exact"/>
              <w:rPr>
                <w:rFonts w:hint="eastAsia" w:ascii="仿宋_GB2312" w:hAnsi="仿宋_GB2312" w:eastAsia="仿宋_GB2312" w:cs="仿宋_GB2312"/>
                <w:b w:val="0"/>
                <w:bCs/>
                <w:kern w:val="0"/>
                <w:sz w:val="21"/>
                <w:szCs w:val="21"/>
                <w:highlight w:val="none"/>
                <w:lang w:val="en-US" w:eastAsia="zh-CN" w:bidi="ar-SA"/>
              </w:rPr>
            </w:pPr>
            <w:r>
              <w:rPr>
                <w:rFonts w:hint="eastAsia" w:ascii="仿宋_GB2312" w:hAnsi="仿宋_GB2312" w:eastAsia="仿宋_GB2312" w:cs="仿宋_GB2312"/>
                <w:b w:val="0"/>
                <w:bCs/>
                <w:kern w:val="0"/>
                <w:sz w:val="21"/>
                <w:szCs w:val="21"/>
                <w:highlight w:val="none"/>
                <w:lang w:val="en-US" w:eastAsia="zh-CN"/>
              </w:rPr>
              <w:t>3.</w:t>
            </w:r>
            <w:r>
              <w:rPr>
                <w:rFonts w:hint="eastAsia" w:ascii="仿宋_GB2312" w:hAnsi="仿宋_GB2312" w:eastAsia="仿宋_GB2312" w:cs="仿宋_GB2312"/>
                <w:b w:val="0"/>
                <w:bCs/>
                <w:kern w:val="0"/>
                <w:sz w:val="21"/>
                <w:szCs w:val="21"/>
                <w:highlight w:val="none"/>
              </w:rPr>
              <w:t>严格落实计划用水管理制度，按要求对达到一定用水规模的非居民用户下达用水定额（计划），计划用水率达到90%以上。持续推进定额用水管理，推进定额用水和计划用水管理相结合，并扩大定额范围。</w:t>
            </w:r>
          </w:p>
        </w:tc>
        <w:tc>
          <w:tcPr>
            <w:tcW w:w="1781" w:type="dxa"/>
            <w:vAlign w:val="center"/>
          </w:tcPr>
          <w:p>
            <w:pPr>
              <w:numPr>
                <w:ilvl w:val="0"/>
                <w:numId w:val="0"/>
              </w:numPr>
              <w:spacing w:line="300" w:lineRule="exact"/>
              <w:ind w:left="0" w:leftChars="0" w:firstLine="0" w:firstLineChars="0"/>
              <w:jc w:val="center"/>
              <w:rPr>
                <w:rFonts w:hint="eastAsia" w:ascii="仿宋_GB2312" w:hAnsi="仿宋_GB2312" w:eastAsia="仿宋_GB2312" w:cs="仿宋_GB2312"/>
                <w:b w:val="0"/>
                <w:bCs/>
                <w:kern w:val="0"/>
                <w:sz w:val="21"/>
                <w:szCs w:val="21"/>
                <w:highlight w:val="none"/>
              </w:rPr>
            </w:pPr>
            <w:r>
              <w:rPr>
                <w:rFonts w:hint="eastAsia" w:ascii="仿宋_GB2312" w:hAnsi="仿宋_GB2312" w:eastAsia="仿宋_GB2312" w:cs="仿宋_GB2312"/>
                <w:b w:val="0"/>
                <w:bCs/>
                <w:kern w:val="0"/>
                <w:sz w:val="21"/>
                <w:szCs w:val="21"/>
                <w:highlight w:val="none"/>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pStyle w:val="2"/>
              <w:spacing w:beforeLines="0" w:afterLines="0" w:line="300" w:lineRule="exact"/>
              <w:ind w:firstLine="0" w:firstLineChars="0"/>
              <w:jc w:val="center"/>
              <w:rPr>
                <w:rFonts w:hint="eastAsia" w:ascii="仿宋" w:hAnsi="仿宋" w:eastAsia="黑体" w:cs="仿宋"/>
                <w:b w:val="0"/>
                <w:bCs w:val="0"/>
                <w:sz w:val="21"/>
                <w:szCs w:val="21"/>
                <w:highlight w:val="none"/>
              </w:rPr>
            </w:pPr>
            <w:r>
              <w:rPr>
                <w:rFonts w:hint="eastAsia" w:ascii="仿宋_GB2312" w:eastAsia="仿宋_GB2312"/>
                <w:color w:val="auto"/>
                <w:sz w:val="21"/>
                <w:szCs w:val="21"/>
                <w:lang w:eastAsia="zh-CN"/>
              </w:rPr>
              <w:t>第二轮中央生态环境保护督察</w:t>
            </w:r>
          </w:p>
        </w:tc>
        <w:tc>
          <w:tcPr>
            <w:tcW w:w="755" w:type="dxa"/>
            <w:vAlign w:val="center"/>
          </w:tcPr>
          <w:p>
            <w:pPr>
              <w:spacing w:line="300" w:lineRule="exact"/>
              <w:jc w:val="center"/>
              <w:rPr>
                <w:rFonts w:hint="eastAsia" w:ascii="仿宋" w:hAnsi="仿宋" w:eastAsia="黑体" w:cs="黑体"/>
                <w:b w:val="0"/>
                <w:bCs w:val="0"/>
                <w:kern w:val="2"/>
                <w:sz w:val="21"/>
                <w:szCs w:val="21"/>
                <w:highlight w:val="none"/>
                <w:lang w:val="en-US" w:eastAsia="zh-CN" w:bidi="ar-SA"/>
              </w:rPr>
            </w:pPr>
            <w:r>
              <w:rPr>
                <w:rFonts w:hint="eastAsia" w:ascii="仿宋" w:hAnsi="仿宋" w:eastAsia="黑体" w:cs="仿宋"/>
                <w:b w:val="0"/>
                <w:bCs w:val="0"/>
                <w:sz w:val="21"/>
                <w:szCs w:val="21"/>
                <w:highlight w:val="none"/>
              </w:rPr>
              <w:t>32</w:t>
            </w:r>
          </w:p>
        </w:tc>
        <w:tc>
          <w:tcPr>
            <w:tcW w:w="2674" w:type="dxa"/>
            <w:vAlign w:val="center"/>
          </w:tcPr>
          <w:p>
            <w:pPr>
              <w:spacing w:line="300" w:lineRule="exact"/>
              <w:rPr>
                <w:rFonts w:hint="eastAsia" w:ascii="仿宋" w:hAnsi="仿宋" w:eastAsia="黑体" w:cs="黑体"/>
                <w:b w:val="0"/>
                <w:bCs w:val="0"/>
                <w:kern w:val="2"/>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rPr>
              <w:t>大气污染防治问题依然突出。山东省大气污染防治的结构性、根源性压力仍处于高位，“十四五”大气污染防治形势依然严峻。</w:t>
            </w:r>
          </w:p>
        </w:tc>
        <w:tc>
          <w:tcPr>
            <w:tcW w:w="7338" w:type="dxa"/>
            <w:vAlign w:val="center"/>
          </w:tcPr>
          <w:p>
            <w:pPr>
              <w:spacing w:line="300" w:lineRule="exac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1.坚决落实《全省落实“三个坚决”行动方案（2021-2022年）》的有关要求，①按照《“坚决淘汰一批”任务清单（煤电机组）》，涉及我市</w:t>
            </w:r>
            <w:r>
              <w:rPr>
                <w:rFonts w:hint="eastAsia" w:ascii="仿宋_GB2312" w:hAnsi="仿宋_GB2312" w:eastAsia="仿宋_GB2312" w:cs="仿宋_GB2312"/>
                <w:kern w:val="0"/>
                <w:sz w:val="21"/>
                <w:szCs w:val="21"/>
                <w:lang w:eastAsia="zh-CN"/>
              </w:rPr>
              <w:t>的</w:t>
            </w:r>
            <w:r>
              <w:rPr>
                <w:rFonts w:hint="eastAsia" w:ascii="仿宋_GB2312" w:hAnsi="仿宋_GB2312" w:eastAsia="仿宋_GB2312" w:cs="仿宋_GB2312"/>
                <w:kern w:val="0"/>
                <w:sz w:val="21"/>
                <w:szCs w:val="21"/>
              </w:rPr>
              <w:t>青岛市恒光热电有限#1#2#3#4机组已拆除，青岛热电股份有限公司#1#2#3机组已列为应急备用。②青岛途乐驰橡胶有限公司、青岛福轮科技有限公司2家企业，根据省工业和信息化厅等四部门《关于反馈子午线轮胎项目省级审核意见的函》（鲁工信字〔2021〕18号），已从“坚决淘汰一批”任务清单中调出。青岛奥诺轮胎有限公司，根据企业申诉，市政府组织有关部门认定其半钢子午胎产能超过500万条，并致函省工信厅，申请调出产能退出名单，目前省工信厅已将该公司调出产能退出名单，并正在开展销号工作。③2023年1月4日至5日，青岛市对城阳区、西海岸新区、平度市、莱西市等区（市）水泥淘汰落后产能工作开展了市级验收，确认5台直径3.2米及以下水泥磨机均已全部拆除预粉磨、管磨机及动力供电等设备，管磨机主体落地，达到了有关拆除标准。</w:t>
            </w:r>
          </w:p>
          <w:p>
            <w:pPr>
              <w:spacing w:line="300" w:lineRule="exact"/>
              <w:rPr>
                <w:rFonts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2.推动西海岸新区、胶州市、莱西市整县分布式光伏试点工作（共计100万千瓦），3个</w:t>
            </w:r>
            <w:r>
              <w:rPr>
                <w:rFonts w:hint="eastAsia" w:ascii="仿宋_GB2312" w:hAnsi="仿宋_GB2312" w:eastAsia="仿宋_GB2312" w:cs="仿宋_GB2312"/>
                <w:kern w:val="0"/>
                <w:sz w:val="21"/>
                <w:szCs w:val="21"/>
                <w:lang w:eastAsia="zh-CN"/>
              </w:rPr>
              <w:t>区（市）</w:t>
            </w:r>
            <w:r>
              <w:rPr>
                <w:rFonts w:hint="eastAsia" w:ascii="仿宋_GB2312" w:hAnsi="仿宋_GB2312" w:eastAsia="仿宋_GB2312" w:cs="仿宋_GB2312"/>
                <w:kern w:val="0"/>
                <w:sz w:val="21"/>
                <w:szCs w:val="21"/>
              </w:rPr>
              <w:t>均已编制完成开发规划，进入实施阶段，目前有序推进。全面启动即墨</w:t>
            </w:r>
            <w:r>
              <w:rPr>
                <w:rFonts w:hint="eastAsia" w:ascii="仿宋_GB2312" w:hAnsi="仿宋_GB2312" w:eastAsia="仿宋_GB2312" w:cs="仿宋_GB2312"/>
                <w:kern w:val="0"/>
                <w:sz w:val="21"/>
                <w:szCs w:val="21"/>
                <w:lang w:eastAsia="zh-CN"/>
              </w:rPr>
              <w:t>区</w:t>
            </w:r>
            <w:r>
              <w:rPr>
                <w:rFonts w:hint="eastAsia" w:ascii="仿宋_GB2312" w:hAnsi="仿宋_GB2312" w:eastAsia="仿宋_GB2312" w:cs="仿宋_GB2312"/>
                <w:kern w:val="0"/>
                <w:sz w:val="21"/>
                <w:szCs w:val="21"/>
              </w:rPr>
              <w:t>、西海岸新区百万千瓦级光伏发电基地建设。</w:t>
            </w:r>
          </w:p>
          <w:p>
            <w:pPr>
              <w:spacing w:line="300" w:lineRule="exact"/>
              <w:rPr>
                <w:rFonts w:ascii="仿宋_GB2312" w:hAnsi="仿宋_GB2312" w:eastAsia="仿宋_GB2312" w:cs="仿宋_GB2312"/>
                <w:kern w:val="32"/>
                <w:sz w:val="21"/>
                <w:szCs w:val="21"/>
                <w:highlight w:val="yellow"/>
              </w:rPr>
            </w:pPr>
            <w:r>
              <w:rPr>
                <w:rFonts w:hint="eastAsia" w:ascii="仿宋_GB2312" w:hAnsi="仿宋_GB2312" w:eastAsia="仿宋_GB2312" w:cs="仿宋_GB2312"/>
                <w:kern w:val="0"/>
                <w:sz w:val="21"/>
                <w:szCs w:val="21"/>
              </w:rPr>
              <w:t>3.</w:t>
            </w:r>
            <w:r>
              <w:rPr>
                <w:rFonts w:hint="eastAsia" w:ascii="仿宋_GB2312" w:hAnsi="仿宋_GB2312" w:eastAsia="仿宋_GB2312" w:cs="仿宋_GB2312"/>
                <w:bCs/>
                <w:kern w:val="0"/>
                <w:sz w:val="21"/>
                <w:szCs w:val="21"/>
              </w:rPr>
              <w:t>持续优化港区货物运输结构。大力发展公转铁、公转水、公转管等多式联运模式，提升清洁运输占比。2023年，山东港口</w:t>
            </w:r>
            <w:r>
              <w:rPr>
                <w:rFonts w:hint="eastAsia" w:ascii="仿宋_GB2312" w:hAnsi="仿宋_GB2312" w:eastAsia="仿宋_GB2312" w:cs="仿宋_GB2312"/>
                <w:bCs/>
                <w:kern w:val="0"/>
                <w:sz w:val="21"/>
                <w:szCs w:val="21"/>
                <w:lang w:eastAsia="zh-CN"/>
              </w:rPr>
              <w:t>集团</w:t>
            </w:r>
            <w:r>
              <w:rPr>
                <w:rFonts w:hint="eastAsia" w:ascii="仿宋_GB2312" w:hAnsi="仿宋_GB2312" w:eastAsia="仿宋_GB2312" w:cs="仿宋_GB2312"/>
                <w:bCs/>
                <w:kern w:val="0"/>
                <w:sz w:val="21"/>
                <w:szCs w:val="21"/>
              </w:rPr>
              <w:t>青岛港大宗干散货“铁路+水路”清洁运输占比达到86.6%，其中前湾港区、董家口港区大宗干散货“铁路+水路”清洁运输占比分别达到96%和78.9%，全港油品“铁路+水路+管道”清洁运输占比达到92.7%</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海铁联运完成220.8万标箱，同比增长16.1%。中欧班列（齐鲁号）开行863列，同比增长11.4%。做好新能源汽车推广应用服务工作，认真落实中央新能源汽车购置补贴政策，积极指导协助本市新能源汽车生产企业申报国家中央新能源汽车购置补贴。2</w:t>
            </w:r>
            <w:r>
              <w:rPr>
                <w:rFonts w:ascii="仿宋_GB2312" w:hAnsi="仿宋_GB2312" w:eastAsia="仿宋_GB2312" w:cs="仿宋_GB2312"/>
                <w:bCs/>
                <w:kern w:val="0"/>
                <w:sz w:val="21"/>
                <w:szCs w:val="21"/>
              </w:rPr>
              <w:t>023年</w:t>
            </w:r>
            <w:r>
              <w:rPr>
                <w:rFonts w:hint="eastAsia" w:ascii="仿宋_GB2312" w:hAnsi="仿宋_GB2312" w:eastAsia="仿宋_GB2312" w:cs="仿宋_GB2312"/>
                <w:bCs/>
                <w:kern w:val="0"/>
                <w:sz w:val="21"/>
                <w:szCs w:val="21"/>
              </w:rPr>
              <w:t>，新能源充电桩增量约2.03万个，新能源汽车充电设施保有量6.04万个</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公交车更新300辆，其中新能源300辆，占比100%</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出租车（含巡游出租车、网约车）新增和更新21274辆，其中新能源20010辆，清洁能源1833辆，占比94.06%。市区公交车在保留必要燃油车作为应急运力基础上全部更换为新能源或清洁能源。</w:t>
            </w:r>
          </w:p>
          <w:p>
            <w:pPr>
              <w:spacing w:line="300" w:lineRule="exact"/>
              <w:rPr>
                <w:rFonts w:hint="eastAsia" w:ascii="仿宋" w:hAnsi="仿宋" w:eastAsia="黑体" w:cs="黑体"/>
                <w:b w:val="0"/>
                <w:bCs w:val="0"/>
                <w:kern w:val="2"/>
                <w:sz w:val="21"/>
                <w:szCs w:val="21"/>
                <w:highlight w:val="none"/>
                <w:lang w:val="en-US" w:eastAsia="zh-CN" w:bidi="ar-SA"/>
              </w:rPr>
            </w:pPr>
            <w:r>
              <w:rPr>
                <w:rFonts w:hint="eastAsia" w:ascii="仿宋_GB2312" w:hAnsi="仿宋_GB2312" w:eastAsia="仿宋_GB2312" w:cs="仿宋_GB2312"/>
                <w:kern w:val="0"/>
                <w:sz w:val="21"/>
                <w:szCs w:val="21"/>
              </w:rPr>
              <w:t>4.印发《青岛市202</w:t>
            </w:r>
            <w:r>
              <w:rPr>
                <w:rFonts w:ascii="仿宋_GB2312" w:hAnsi="仿宋_GB2312" w:eastAsia="仿宋_GB2312" w:cs="仿宋_GB2312"/>
                <w:kern w:val="0"/>
                <w:sz w:val="21"/>
                <w:szCs w:val="21"/>
              </w:rPr>
              <w:t>3</w:t>
            </w:r>
            <w:r>
              <w:rPr>
                <w:rFonts w:hint="eastAsia" w:ascii="仿宋_GB2312" w:hAnsi="仿宋_GB2312" w:eastAsia="仿宋_GB2312" w:cs="仿宋_GB2312"/>
                <w:kern w:val="0"/>
                <w:sz w:val="21"/>
                <w:szCs w:val="21"/>
              </w:rPr>
              <w:t>年夏秋季臭氧污染强化治理攻坚行动实施方案》（青环办发〔202</w:t>
            </w:r>
            <w:r>
              <w:rPr>
                <w:rFonts w:ascii="仿宋_GB2312" w:hAnsi="仿宋_GB2312" w:eastAsia="仿宋_GB2312" w:cs="仿宋_GB2312"/>
                <w:kern w:val="0"/>
                <w:sz w:val="21"/>
                <w:szCs w:val="21"/>
              </w:rPr>
              <w:t>3</w:t>
            </w:r>
            <w:r>
              <w:rPr>
                <w:rFonts w:hint="eastAsia" w:ascii="仿宋_GB2312" w:hAnsi="仿宋_GB2312" w:eastAsia="仿宋_GB2312" w:cs="仿宋_GB2312"/>
                <w:kern w:val="0"/>
                <w:sz w:val="21"/>
                <w:szCs w:val="21"/>
              </w:rPr>
              <w:t>〕</w:t>
            </w:r>
            <w:r>
              <w:rPr>
                <w:rFonts w:ascii="仿宋_GB2312" w:hAnsi="仿宋_GB2312" w:eastAsia="仿宋_GB2312" w:cs="仿宋_GB2312"/>
                <w:kern w:val="0"/>
                <w:sz w:val="21"/>
                <w:szCs w:val="21"/>
              </w:rPr>
              <w:t>19</w:t>
            </w:r>
            <w:r>
              <w:rPr>
                <w:rFonts w:hint="eastAsia" w:ascii="仿宋_GB2312" w:hAnsi="仿宋_GB2312" w:eastAsia="仿宋_GB2312" w:cs="仿宋_GB2312"/>
                <w:kern w:val="0"/>
                <w:sz w:val="21"/>
                <w:szCs w:val="21"/>
              </w:rPr>
              <w:t>号），组织实施重点行业企业网格化帮扶，全市帮扶治理企业389家次；建立全市泄露监测与修复（LDAR）信息管理平台；帮扶督促</w:t>
            </w:r>
            <w:r>
              <w:rPr>
                <w:rFonts w:ascii="仿宋_GB2312" w:hAnsi="仿宋_GB2312" w:eastAsia="仿宋_GB2312" w:cs="仿宋_GB2312"/>
                <w:kern w:val="0"/>
                <w:sz w:val="21"/>
                <w:szCs w:val="21"/>
              </w:rPr>
              <w:t>39</w:t>
            </w:r>
            <w:r>
              <w:rPr>
                <w:rFonts w:hint="eastAsia" w:ascii="仿宋_GB2312" w:hAnsi="仿宋_GB2312" w:eastAsia="仿宋_GB2312" w:cs="仿宋_GB2312"/>
                <w:kern w:val="0"/>
                <w:sz w:val="21"/>
                <w:szCs w:val="21"/>
              </w:rPr>
              <w:t>家企业完成原辅材料替代工作。落实《低挥发性原辅材料替代企业豁免挥发性有机物末端治理实施细则（试行）》，强化政策宣传力度，推动企业实施低VOCs原辅材料源头替代。有序推进焦化、水泥行业超低排放改造,1家焦化、7家水泥企业均已完成改造。</w:t>
            </w:r>
            <w:r>
              <w:rPr>
                <w:rFonts w:hint="eastAsia" w:ascii="仿宋_GB2312" w:hAnsi="仿宋_GB2312" w:eastAsia="仿宋_GB2312" w:cs="仿宋_GB2312"/>
                <w:bCs/>
                <w:kern w:val="0"/>
                <w:sz w:val="21"/>
                <w:szCs w:val="21"/>
              </w:rPr>
              <w:t>持续开展非道路移动机械摸底调查和编码登记工作，2</w:t>
            </w:r>
            <w:r>
              <w:rPr>
                <w:rFonts w:ascii="仿宋_GB2312" w:hAnsi="仿宋_GB2312" w:eastAsia="仿宋_GB2312" w:cs="仿宋_GB2312"/>
                <w:bCs/>
                <w:kern w:val="0"/>
                <w:sz w:val="21"/>
                <w:szCs w:val="21"/>
              </w:rPr>
              <w:t>023年</w:t>
            </w:r>
            <w:r>
              <w:rPr>
                <w:rFonts w:hint="eastAsia" w:ascii="仿宋_GB2312" w:hAnsi="仿宋_GB2312" w:eastAsia="仿宋_GB2312" w:cs="仿宋_GB2312"/>
                <w:bCs/>
                <w:kern w:val="0"/>
                <w:sz w:val="21"/>
                <w:szCs w:val="21"/>
              </w:rPr>
              <w:t>全市已登记编码非道路移动机械5.45万台</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全市路检路查柴油车1540</w:t>
            </w:r>
            <w:r>
              <w:rPr>
                <w:rFonts w:ascii="仿宋_GB2312" w:hAnsi="仿宋_GB2312" w:eastAsia="仿宋_GB2312" w:cs="仿宋_GB2312"/>
                <w:bCs/>
                <w:kern w:val="0"/>
                <w:sz w:val="21"/>
                <w:szCs w:val="21"/>
              </w:rPr>
              <w:t>余</w:t>
            </w:r>
            <w:r>
              <w:rPr>
                <w:rFonts w:hint="eastAsia" w:ascii="仿宋_GB2312" w:hAnsi="仿宋_GB2312" w:eastAsia="仿宋_GB2312" w:cs="仿宋_GB2312"/>
                <w:bCs/>
                <w:kern w:val="0"/>
                <w:sz w:val="21"/>
                <w:szCs w:val="21"/>
              </w:rPr>
              <w:t>辆次，集中停放地监督检查柴油车890</w:t>
            </w:r>
            <w:r>
              <w:rPr>
                <w:rFonts w:ascii="仿宋_GB2312" w:hAnsi="仿宋_GB2312" w:eastAsia="仿宋_GB2312" w:cs="仿宋_GB2312"/>
                <w:bCs/>
                <w:kern w:val="0"/>
                <w:sz w:val="21"/>
                <w:szCs w:val="21"/>
              </w:rPr>
              <w:t>余</w:t>
            </w:r>
            <w:r>
              <w:rPr>
                <w:rFonts w:hint="eastAsia" w:ascii="仿宋_GB2312" w:hAnsi="仿宋_GB2312" w:eastAsia="仿宋_GB2312" w:cs="仿宋_GB2312"/>
                <w:bCs/>
                <w:kern w:val="0"/>
                <w:sz w:val="21"/>
                <w:szCs w:val="21"/>
              </w:rPr>
              <w:t>辆次，遥感监测柴油车168万辆次，检查环检机构610</w:t>
            </w:r>
            <w:r>
              <w:rPr>
                <w:rFonts w:ascii="仿宋_GB2312" w:hAnsi="仿宋_GB2312" w:eastAsia="仿宋_GB2312" w:cs="仿宋_GB2312"/>
                <w:bCs/>
                <w:kern w:val="0"/>
                <w:sz w:val="21"/>
                <w:szCs w:val="21"/>
              </w:rPr>
              <w:t>余</w:t>
            </w:r>
            <w:r>
              <w:rPr>
                <w:rFonts w:hint="eastAsia" w:ascii="仿宋_GB2312" w:hAnsi="仿宋_GB2312" w:eastAsia="仿宋_GB2312" w:cs="仿宋_GB2312"/>
                <w:bCs/>
                <w:kern w:val="0"/>
                <w:sz w:val="21"/>
                <w:szCs w:val="21"/>
              </w:rPr>
              <w:t>家次。</w:t>
            </w:r>
          </w:p>
        </w:tc>
        <w:tc>
          <w:tcPr>
            <w:tcW w:w="1781" w:type="dxa"/>
            <w:vAlign w:val="center"/>
          </w:tcPr>
          <w:p>
            <w:pPr>
              <w:spacing w:line="320" w:lineRule="exact"/>
              <w:jc w:val="center"/>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color w:val="auto"/>
                <w:kern w:val="0"/>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pStyle w:val="2"/>
              <w:spacing w:beforeLines="0" w:afterLines="0" w:line="300" w:lineRule="exact"/>
              <w:ind w:firstLine="0" w:firstLineChars="0"/>
              <w:jc w:val="center"/>
              <w:rPr>
                <w:rFonts w:hint="eastAsia" w:ascii="仿宋" w:hAnsi="仿宋" w:eastAsia="黑体" w:cs="仿宋"/>
                <w:b w:val="0"/>
                <w:bCs w:val="0"/>
                <w:sz w:val="21"/>
                <w:szCs w:val="21"/>
                <w:highlight w:val="none"/>
              </w:rPr>
            </w:pPr>
            <w:r>
              <w:rPr>
                <w:rFonts w:hint="eastAsia" w:ascii="仿宋_GB2312" w:eastAsia="仿宋_GB2312"/>
                <w:color w:val="auto"/>
                <w:sz w:val="21"/>
                <w:szCs w:val="21"/>
                <w:lang w:eastAsia="zh-CN"/>
              </w:rPr>
              <w:t>第二轮中央生态环境保护督察</w:t>
            </w:r>
          </w:p>
        </w:tc>
        <w:tc>
          <w:tcPr>
            <w:tcW w:w="755" w:type="dxa"/>
            <w:vAlign w:val="center"/>
          </w:tcPr>
          <w:p>
            <w:pPr>
              <w:spacing w:line="300" w:lineRule="exact"/>
              <w:jc w:val="center"/>
              <w:rPr>
                <w:rFonts w:hint="eastAsia" w:ascii="仿宋" w:hAnsi="仿宋" w:eastAsia="黑体" w:cs="黑体"/>
                <w:b w:val="0"/>
                <w:bCs w:val="0"/>
                <w:kern w:val="2"/>
                <w:sz w:val="21"/>
                <w:szCs w:val="21"/>
                <w:highlight w:val="none"/>
                <w:lang w:val="en-US" w:eastAsia="zh-CN" w:bidi="ar-SA"/>
              </w:rPr>
            </w:pPr>
            <w:r>
              <w:rPr>
                <w:rFonts w:hint="eastAsia" w:ascii="仿宋" w:hAnsi="仿宋" w:eastAsia="黑体" w:cs="仿宋"/>
                <w:b w:val="0"/>
                <w:bCs w:val="0"/>
                <w:sz w:val="21"/>
                <w:szCs w:val="21"/>
                <w:highlight w:val="none"/>
              </w:rPr>
              <w:t>37</w:t>
            </w:r>
          </w:p>
        </w:tc>
        <w:tc>
          <w:tcPr>
            <w:tcW w:w="2674" w:type="dxa"/>
            <w:vAlign w:val="center"/>
          </w:tcPr>
          <w:p>
            <w:pPr>
              <w:spacing w:line="300" w:lineRule="exact"/>
              <w:rPr>
                <w:rFonts w:hint="eastAsia" w:ascii="仿宋" w:hAnsi="仿宋" w:eastAsia="黑体" w:cs="黑体"/>
                <w:b w:val="0"/>
                <w:bCs w:val="0"/>
                <w:kern w:val="2"/>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rPr>
              <w:t>柴油货车攻坚存在明显短板。柴油货车淘汰不实，督察组抽查东营市危化品运输车辆情况，发现24辆应淘汰拆解的车辆在用。</w:t>
            </w:r>
          </w:p>
        </w:tc>
        <w:tc>
          <w:tcPr>
            <w:tcW w:w="7338" w:type="dxa"/>
            <w:vAlign w:val="center"/>
          </w:tcPr>
          <w:p>
            <w:pPr>
              <w:spacing w:line="300" w:lineRule="exact"/>
              <w:rPr>
                <w:rFonts w:hint="eastAsia" w:ascii="Times New Roman" w:hAnsi="Times New Roman" w:eastAsia="宋体" w:cs="黑体"/>
                <w:b w:val="0"/>
                <w:bCs w:val="0"/>
                <w:kern w:val="2"/>
                <w:sz w:val="32"/>
                <w:szCs w:val="32"/>
                <w:lang w:val="en-US" w:eastAsia="zh-CN" w:bidi="ar-SA"/>
              </w:rPr>
            </w:pPr>
            <w:r>
              <w:rPr>
                <w:rFonts w:hint="eastAsia" w:ascii="仿宋_GB2312" w:hAnsi="仿宋_GB2312" w:eastAsia="仿宋_GB2312" w:cs="仿宋_GB2312"/>
                <w:b w:val="0"/>
                <w:bCs w:val="0"/>
                <w:kern w:val="0"/>
                <w:sz w:val="21"/>
                <w:szCs w:val="21"/>
                <w:highlight w:val="none"/>
              </w:rPr>
              <w:t>青岛市建立国三排放标准营运柴油货车淘汰工作长效督查机制，各成员单位按照责任分工开展常态化督导工作。</w:t>
            </w:r>
            <w:r>
              <w:rPr>
                <w:rFonts w:hint="eastAsia" w:ascii="仿宋_GB2312" w:hAnsi="仿宋_GB2312" w:eastAsia="仿宋_GB2312" w:cs="仿宋_GB2312"/>
                <w:b w:val="0"/>
                <w:bCs w:val="0"/>
                <w:kern w:val="0"/>
                <w:sz w:val="21"/>
                <w:szCs w:val="21"/>
                <w:highlight w:val="none"/>
                <w:lang w:val="en-US" w:eastAsia="zh-CN"/>
              </w:rPr>
              <w:t>1</w:t>
            </w:r>
            <w:r>
              <w:rPr>
                <w:rFonts w:hint="eastAsia" w:ascii="仿宋_GB2312" w:hAnsi="仿宋_GB2312" w:eastAsia="仿宋_GB2312" w:cs="仿宋_GB2312"/>
                <w:b w:val="0"/>
                <w:bCs w:val="0"/>
                <w:kern w:val="0"/>
                <w:sz w:val="21"/>
                <w:szCs w:val="21"/>
                <w:highlight w:val="none"/>
              </w:rPr>
              <w:t>.交通运输部门：做好日常调度及数据汇总工作，处理国三营运柴油货车淘汰政策咨询及信访工作。</w:t>
            </w:r>
            <w:r>
              <w:rPr>
                <w:rFonts w:hint="eastAsia" w:ascii="仿宋_GB2312" w:hAnsi="仿宋_GB2312" w:eastAsia="仿宋_GB2312" w:cs="仿宋_GB2312"/>
                <w:b w:val="0"/>
                <w:bCs w:val="0"/>
                <w:kern w:val="0"/>
                <w:sz w:val="21"/>
                <w:szCs w:val="21"/>
                <w:highlight w:val="none"/>
                <w:lang w:val="en-US" w:eastAsia="zh-CN"/>
              </w:rPr>
              <w:t>2</w:t>
            </w:r>
            <w:r>
              <w:rPr>
                <w:rFonts w:hint="eastAsia" w:ascii="仿宋_GB2312" w:hAnsi="仿宋_GB2312" w:eastAsia="仿宋_GB2312" w:cs="仿宋_GB2312"/>
                <w:b w:val="0"/>
                <w:bCs w:val="0"/>
                <w:kern w:val="0"/>
                <w:sz w:val="21"/>
                <w:szCs w:val="21"/>
                <w:highlight w:val="none"/>
              </w:rPr>
              <w:t>.公安部门：对此前办理灭失注销和公告牌证作废的3759辆车辆轨迹逐一核查分析，发现4辆异常行驶轨迹，</w:t>
            </w:r>
            <w:r>
              <w:rPr>
                <w:rFonts w:hint="eastAsia" w:ascii="仿宋_GB2312" w:hAnsi="仿宋_GB2312" w:eastAsia="仿宋_GB2312" w:cs="仿宋_GB2312"/>
                <w:b w:val="0"/>
                <w:bCs w:val="0"/>
                <w:kern w:val="0"/>
                <w:sz w:val="21"/>
                <w:szCs w:val="21"/>
                <w:highlight w:val="none"/>
                <w:lang w:val="en-US" w:eastAsia="zh-CN"/>
              </w:rPr>
              <w:t>其中已追回2辆，其他两辆近半年已无行驶轨迹</w:t>
            </w:r>
            <w:r>
              <w:rPr>
                <w:rFonts w:hint="eastAsia" w:ascii="仿宋_GB2312" w:hAnsi="仿宋_GB2312" w:eastAsia="仿宋_GB2312" w:cs="仿宋_GB2312"/>
                <w:b w:val="0"/>
                <w:bCs w:val="0"/>
                <w:kern w:val="0"/>
                <w:sz w:val="21"/>
                <w:szCs w:val="21"/>
                <w:highlight w:val="none"/>
              </w:rPr>
              <w:t>。</w:t>
            </w:r>
            <w:r>
              <w:rPr>
                <w:rFonts w:hint="eastAsia" w:ascii="仿宋_GB2312" w:hAnsi="仿宋_GB2312" w:eastAsia="仿宋_GB2312" w:cs="仿宋_GB2312"/>
                <w:b w:val="0"/>
                <w:bCs w:val="0"/>
                <w:kern w:val="0"/>
                <w:sz w:val="21"/>
                <w:szCs w:val="21"/>
                <w:highlight w:val="none"/>
                <w:lang w:val="en-US" w:eastAsia="zh-CN"/>
              </w:rPr>
              <w:t>3</w:t>
            </w:r>
            <w:r>
              <w:rPr>
                <w:rFonts w:hint="eastAsia" w:ascii="仿宋_GB2312" w:hAnsi="仿宋_GB2312" w:eastAsia="仿宋_GB2312" w:cs="仿宋_GB2312"/>
                <w:b w:val="0"/>
                <w:bCs w:val="0"/>
                <w:kern w:val="0"/>
                <w:sz w:val="21"/>
                <w:szCs w:val="21"/>
                <w:highlight w:val="none"/>
              </w:rPr>
              <w:t>.商务部门：做好有关报废机动车回收拆解督导检查工作，严厉打击非法拆解、组装行为。</w:t>
            </w:r>
            <w:r>
              <w:rPr>
                <w:rFonts w:hint="eastAsia" w:ascii="仿宋_GB2312" w:hAnsi="仿宋_GB2312" w:eastAsia="仿宋_GB2312" w:cs="仿宋_GB2312"/>
                <w:b w:val="0"/>
                <w:bCs w:val="0"/>
                <w:kern w:val="0"/>
                <w:sz w:val="21"/>
                <w:szCs w:val="21"/>
                <w:highlight w:val="none"/>
                <w:lang w:val="en-US" w:eastAsia="zh-CN"/>
              </w:rPr>
              <w:t>赴企业进行安全消防、拆解规范等检查督导，督导企业认真整改省商务厅报废机动车回收拆解行业经营活动大检查提出的问题。组织有关企业召开会议，强调严格按照要求做好省商务厅报废机动车回收拆解行业经营活动大检查工作提出的问题整改。</w:t>
            </w:r>
            <w:r>
              <w:rPr>
                <w:rFonts w:hint="eastAsia" w:ascii="仿宋_GB2312" w:hAnsi="仿宋_GB2312" w:eastAsia="仿宋_GB2312" w:cs="仿宋_GB2312"/>
                <w:b w:val="0"/>
                <w:bCs w:val="0"/>
                <w:kern w:val="0"/>
                <w:sz w:val="21"/>
                <w:szCs w:val="21"/>
                <w:highlight w:val="none"/>
              </w:rPr>
              <w:t>2023年累计办理车辆报废注销</w:t>
            </w:r>
            <w:r>
              <w:rPr>
                <w:rFonts w:hint="eastAsia" w:ascii="仿宋_GB2312" w:hAnsi="仿宋_GB2312" w:eastAsia="仿宋_GB2312" w:cs="仿宋_GB2312"/>
                <w:b w:val="0"/>
                <w:bCs w:val="0"/>
                <w:kern w:val="0"/>
                <w:sz w:val="21"/>
                <w:szCs w:val="21"/>
                <w:highlight w:val="none"/>
                <w:lang w:val="en-US" w:eastAsia="zh-CN"/>
              </w:rPr>
              <w:t>39020</w:t>
            </w:r>
            <w:r>
              <w:rPr>
                <w:rFonts w:hint="eastAsia" w:ascii="仿宋_GB2312" w:hAnsi="仿宋_GB2312" w:eastAsia="仿宋_GB2312" w:cs="仿宋_GB2312"/>
                <w:b w:val="0"/>
                <w:bCs w:val="0"/>
                <w:kern w:val="0"/>
                <w:sz w:val="21"/>
                <w:szCs w:val="21"/>
                <w:highlight w:val="none"/>
              </w:rPr>
              <w:t>辆。</w:t>
            </w:r>
            <w:r>
              <w:rPr>
                <w:rFonts w:hint="eastAsia" w:ascii="仿宋_GB2312" w:hAnsi="仿宋_GB2312" w:eastAsia="仿宋_GB2312" w:cs="仿宋_GB2312"/>
                <w:b w:val="0"/>
                <w:bCs w:val="0"/>
                <w:kern w:val="0"/>
                <w:sz w:val="21"/>
                <w:szCs w:val="21"/>
                <w:highlight w:val="none"/>
                <w:lang w:val="en-US" w:eastAsia="zh-CN"/>
              </w:rPr>
              <w:t>4</w:t>
            </w:r>
            <w:r>
              <w:rPr>
                <w:rFonts w:hint="eastAsia" w:ascii="仿宋_GB2312" w:hAnsi="仿宋_GB2312" w:eastAsia="仿宋_GB2312" w:cs="仿宋_GB2312"/>
                <w:b w:val="0"/>
                <w:bCs w:val="0"/>
                <w:kern w:val="0"/>
                <w:sz w:val="21"/>
                <w:szCs w:val="21"/>
                <w:highlight w:val="none"/>
              </w:rPr>
              <w:t>.生态环境部门：配合交通运输部门做好国三及以下营运柴油货车淘汰排放标准认证和审核工作。组织全市开展重型柴油车停放地监督执法，2023年共检查重型柴油车</w:t>
            </w:r>
            <w:r>
              <w:rPr>
                <w:rFonts w:hint="eastAsia" w:ascii="仿宋_GB2312" w:hAnsi="仿宋_GB2312" w:eastAsia="仿宋_GB2312" w:cs="仿宋_GB2312"/>
                <w:b w:val="0"/>
                <w:bCs w:val="0"/>
                <w:kern w:val="0"/>
                <w:sz w:val="21"/>
                <w:szCs w:val="21"/>
                <w:highlight w:val="none"/>
                <w:lang w:val="en-US" w:eastAsia="zh-CN"/>
              </w:rPr>
              <w:t>890</w:t>
            </w:r>
            <w:r>
              <w:rPr>
                <w:rFonts w:hint="eastAsia" w:ascii="仿宋_GB2312" w:hAnsi="仿宋_GB2312" w:eastAsia="仿宋_GB2312" w:cs="仿宋_GB2312"/>
                <w:b w:val="0"/>
                <w:bCs w:val="0"/>
                <w:kern w:val="0"/>
                <w:sz w:val="21"/>
                <w:szCs w:val="21"/>
                <w:highlight w:val="none"/>
              </w:rPr>
              <w:t>余辆</w:t>
            </w:r>
            <w:r>
              <w:rPr>
                <w:rFonts w:hint="eastAsia" w:ascii="仿宋_GB2312" w:hAnsi="仿宋_GB2312" w:eastAsia="仿宋_GB2312" w:cs="仿宋_GB2312"/>
                <w:b w:val="0"/>
                <w:bCs w:val="0"/>
                <w:kern w:val="0"/>
                <w:sz w:val="21"/>
                <w:szCs w:val="21"/>
                <w:highlight w:val="none"/>
                <w:lang w:val="en-US" w:eastAsia="zh-CN"/>
              </w:rPr>
              <w:t>次</w:t>
            </w:r>
            <w:r>
              <w:rPr>
                <w:rFonts w:hint="eastAsia" w:ascii="仿宋_GB2312" w:hAnsi="仿宋_GB2312" w:eastAsia="仿宋_GB2312" w:cs="仿宋_GB2312"/>
                <w:b w:val="0"/>
                <w:bCs w:val="0"/>
                <w:kern w:val="0"/>
                <w:sz w:val="21"/>
                <w:szCs w:val="21"/>
                <w:highlight w:val="none"/>
              </w:rPr>
              <w:t>；配合公安交警部门开展路查执法检查，共检查车辆</w:t>
            </w:r>
            <w:r>
              <w:rPr>
                <w:rFonts w:hint="eastAsia" w:ascii="仿宋_GB2312" w:hAnsi="仿宋_GB2312" w:eastAsia="仿宋_GB2312" w:cs="仿宋_GB2312"/>
                <w:b w:val="0"/>
                <w:bCs w:val="0"/>
                <w:kern w:val="0"/>
                <w:sz w:val="21"/>
                <w:szCs w:val="21"/>
                <w:highlight w:val="none"/>
                <w:lang w:val="en-US" w:eastAsia="zh-CN"/>
              </w:rPr>
              <w:t>1540</w:t>
            </w:r>
            <w:r>
              <w:rPr>
                <w:rFonts w:hint="eastAsia" w:ascii="仿宋_GB2312" w:hAnsi="仿宋_GB2312" w:eastAsia="仿宋_GB2312" w:cs="仿宋_GB2312"/>
                <w:b w:val="0"/>
                <w:bCs w:val="0"/>
                <w:kern w:val="0"/>
                <w:sz w:val="21"/>
                <w:szCs w:val="21"/>
                <w:highlight w:val="none"/>
              </w:rPr>
              <w:t>余辆</w:t>
            </w:r>
            <w:r>
              <w:rPr>
                <w:rFonts w:hint="eastAsia" w:ascii="仿宋_GB2312" w:hAnsi="仿宋_GB2312" w:eastAsia="仿宋_GB2312" w:cs="仿宋_GB2312"/>
                <w:b w:val="0"/>
                <w:bCs w:val="0"/>
                <w:kern w:val="0"/>
                <w:sz w:val="21"/>
                <w:szCs w:val="21"/>
                <w:highlight w:val="none"/>
                <w:lang w:val="en-US" w:eastAsia="zh-CN"/>
              </w:rPr>
              <w:t>次</w:t>
            </w:r>
            <w:r>
              <w:rPr>
                <w:rFonts w:hint="eastAsia" w:ascii="仿宋_GB2312" w:hAnsi="仿宋_GB2312" w:eastAsia="仿宋_GB2312" w:cs="仿宋_GB2312"/>
                <w:b w:val="0"/>
                <w:bCs w:val="0"/>
                <w:kern w:val="0"/>
                <w:sz w:val="21"/>
                <w:szCs w:val="21"/>
                <w:highlight w:val="none"/>
              </w:rPr>
              <w:t>。</w:t>
            </w:r>
          </w:p>
        </w:tc>
        <w:tc>
          <w:tcPr>
            <w:tcW w:w="1781" w:type="dxa"/>
            <w:vAlign w:val="center"/>
          </w:tcPr>
          <w:p>
            <w:pPr>
              <w:spacing w:line="320" w:lineRule="exact"/>
              <w:jc w:val="center"/>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pStyle w:val="2"/>
              <w:spacing w:beforeLines="0" w:afterLines="0" w:line="300" w:lineRule="exact"/>
              <w:ind w:firstLine="0" w:firstLineChars="0"/>
              <w:jc w:val="center"/>
              <w:rPr>
                <w:rFonts w:hint="eastAsia" w:ascii="仿宋" w:hAnsi="仿宋" w:eastAsia="黑体" w:cs="仿宋"/>
                <w:b w:val="0"/>
                <w:bCs w:val="0"/>
                <w:sz w:val="21"/>
                <w:szCs w:val="21"/>
                <w:highlight w:val="none"/>
              </w:rPr>
            </w:pPr>
            <w:r>
              <w:rPr>
                <w:rFonts w:hint="eastAsia" w:ascii="仿宋_GB2312" w:eastAsia="仿宋_GB2312"/>
                <w:color w:val="auto"/>
                <w:sz w:val="21"/>
                <w:szCs w:val="21"/>
                <w:lang w:eastAsia="zh-CN"/>
              </w:rPr>
              <w:t>第二轮中央生态环境保护督察</w:t>
            </w:r>
          </w:p>
        </w:tc>
        <w:tc>
          <w:tcPr>
            <w:tcW w:w="755" w:type="dxa"/>
            <w:vAlign w:val="center"/>
          </w:tcPr>
          <w:p>
            <w:pPr>
              <w:spacing w:line="300" w:lineRule="exact"/>
              <w:jc w:val="center"/>
              <w:rPr>
                <w:rFonts w:hint="eastAsia" w:ascii="仿宋" w:hAnsi="仿宋" w:eastAsia="黑体" w:cs="黑体"/>
                <w:b w:val="0"/>
                <w:bCs w:val="0"/>
                <w:kern w:val="2"/>
                <w:sz w:val="21"/>
                <w:szCs w:val="21"/>
                <w:highlight w:val="none"/>
                <w:lang w:val="en-US" w:eastAsia="zh-CN" w:bidi="ar-SA"/>
              </w:rPr>
            </w:pPr>
            <w:r>
              <w:rPr>
                <w:rFonts w:hint="eastAsia" w:ascii="仿宋" w:hAnsi="仿宋" w:eastAsia="黑体" w:cs="仿宋"/>
                <w:b w:val="0"/>
                <w:bCs w:val="0"/>
                <w:sz w:val="21"/>
                <w:szCs w:val="21"/>
                <w:highlight w:val="none"/>
              </w:rPr>
              <w:t>45</w:t>
            </w:r>
          </w:p>
        </w:tc>
        <w:tc>
          <w:tcPr>
            <w:tcW w:w="2674" w:type="dxa"/>
            <w:vAlign w:val="center"/>
          </w:tcPr>
          <w:p>
            <w:pPr>
              <w:spacing w:line="300" w:lineRule="exact"/>
              <w:rPr>
                <w:rFonts w:hint="eastAsia" w:ascii="仿宋" w:hAnsi="仿宋" w:eastAsia="黑体" w:cs="黑体"/>
                <w:b w:val="0"/>
                <w:bCs w:val="0"/>
                <w:kern w:val="2"/>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rPr>
              <w:t>一些突出生态环境问题亟待解决，海洋生态环境保护不到位。尽管山东省近岸海域水质总体持续向好，但局部海域水质仍呈恶化趋势。胶州湾近岸海域达到三类及以上水质标准的面积比例由2018年的92％降至2020年的82％。</w:t>
            </w:r>
          </w:p>
        </w:tc>
        <w:tc>
          <w:tcPr>
            <w:tcW w:w="7338" w:type="dxa"/>
            <w:vAlign w:val="center"/>
          </w:tcPr>
          <w:p>
            <w:pPr>
              <w:spacing w:line="300" w:lineRule="exact"/>
              <w:rPr>
                <w:rFonts w:ascii="仿宋_GB2312" w:hAnsi="仿宋_GB2312" w:eastAsia="仿宋_GB2312" w:cs="仿宋_GB2312"/>
                <w:b w:val="0"/>
                <w:bCs w:val="0"/>
                <w:kern w:val="0"/>
                <w:sz w:val="21"/>
                <w:szCs w:val="21"/>
                <w:highlight w:val="none"/>
              </w:rPr>
            </w:pPr>
            <w:r>
              <w:rPr>
                <w:rFonts w:hint="eastAsia" w:ascii="仿宋_GB2312" w:hAnsi="仿宋_GB2312" w:eastAsia="仿宋_GB2312" w:cs="仿宋_GB2312"/>
                <w:b w:val="0"/>
                <w:bCs w:val="0"/>
                <w:kern w:val="0"/>
                <w:sz w:val="21"/>
                <w:szCs w:val="21"/>
                <w:highlight w:val="none"/>
              </w:rPr>
              <w:t>1.2021年8月9日，青岛市生态环境委员会办公室印发《青岛市入海排污口（排口）整治工作方案》（青环委办发〔2021〕58号），按照“取缔一批、治理一批、规范一批”的要求组织开展入海排污口整治。全市6174个入海排污口已全部完成整治。</w:t>
            </w:r>
          </w:p>
          <w:p>
            <w:pPr>
              <w:spacing w:line="300" w:lineRule="exact"/>
              <w:rPr>
                <w:rFonts w:ascii="仿宋_GB2312" w:hAnsi="仿宋_GB2312" w:eastAsia="仿宋_GB2312" w:cs="仿宋_GB2312"/>
                <w:b w:val="0"/>
                <w:bCs w:val="0"/>
                <w:color w:val="0000FF"/>
                <w:kern w:val="0"/>
                <w:sz w:val="21"/>
                <w:szCs w:val="21"/>
                <w:highlight w:val="none"/>
              </w:rPr>
            </w:pPr>
            <w:r>
              <w:rPr>
                <w:rFonts w:hint="eastAsia" w:ascii="仿宋_GB2312" w:hAnsi="仿宋_GB2312" w:eastAsia="仿宋_GB2312" w:cs="仿宋_GB2312"/>
                <w:b w:val="0"/>
                <w:bCs w:val="0"/>
                <w:kern w:val="0"/>
                <w:sz w:val="21"/>
                <w:szCs w:val="21"/>
                <w:highlight w:val="none"/>
              </w:rPr>
              <w:t>2</w:t>
            </w:r>
            <w:r>
              <w:rPr>
                <w:rFonts w:ascii="仿宋_GB2312" w:hAnsi="仿宋_GB2312" w:eastAsia="仿宋_GB2312" w:cs="仿宋_GB2312"/>
                <w:b w:val="0"/>
                <w:bCs w:val="0"/>
                <w:kern w:val="0"/>
                <w:sz w:val="21"/>
                <w:szCs w:val="21"/>
                <w:highlight w:val="none"/>
              </w:rPr>
              <w:t>.</w:t>
            </w:r>
            <w:r>
              <w:rPr>
                <w:rFonts w:hint="eastAsia" w:ascii="仿宋_GB2312" w:hAnsi="仿宋_GB2312" w:eastAsia="仿宋_GB2312" w:cs="仿宋_GB2312"/>
                <w:b w:val="0"/>
                <w:bCs w:val="0"/>
                <w:kern w:val="0"/>
                <w:sz w:val="21"/>
                <w:szCs w:val="21"/>
                <w:highlight w:val="none"/>
                <w:lang w:val="en-US" w:eastAsia="zh-CN"/>
              </w:rPr>
              <w:t>2022年，</w:t>
            </w:r>
            <w:r>
              <w:rPr>
                <w:rFonts w:hint="eastAsia" w:ascii="仿宋_GB2312" w:hAnsi="仿宋_GB2312" w:eastAsia="仿宋_GB2312" w:cs="仿宋_GB2312"/>
                <w:b w:val="0"/>
                <w:bCs w:val="0"/>
                <w:kern w:val="0"/>
                <w:sz w:val="21"/>
                <w:szCs w:val="21"/>
                <w:highlight w:val="none"/>
              </w:rPr>
              <w:t>胶州湾禁养区</w:t>
            </w:r>
            <w:r>
              <w:rPr>
                <w:rFonts w:hint="eastAsia" w:ascii="仿宋_GB2312" w:hAnsi="仿宋_GB2312" w:eastAsia="仿宋_GB2312" w:cs="仿宋_GB2312"/>
                <w:b w:val="0"/>
                <w:bCs w:val="0"/>
                <w:kern w:val="0"/>
                <w:sz w:val="21"/>
                <w:szCs w:val="21"/>
                <w:highlight w:val="none"/>
                <w:lang w:eastAsia="zh-CN"/>
              </w:rPr>
              <w:t>海水养殖已</w:t>
            </w:r>
            <w:r>
              <w:rPr>
                <w:rFonts w:hint="eastAsia" w:ascii="仿宋_GB2312" w:hAnsi="仿宋_GB2312" w:eastAsia="仿宋_GB2312" w:cs="仿宋_GB2312"/>
                <w:b w:val="0"/>
                <w:bCs w:val="0"/>
                <w:kern w:val="0"/>
                <w:sz w:val="21"/>
                <w:szCs w:val="21"/>
                <w:highlight w:val="none"/>
              </w:rPr>
              <w:t>全部关停禁养。</w:t>
            </w:r>
          </w:p>
          <w:p>
            <w:pPr>
              <w:spacing w:line="300" w:lineRule="exact"/>
              <w:rPr>
                <w:rFonts w:hint="eastAsia" w:ascii="仿宋" w:hAnsi="仿宋" w:eastAsia="仿宋_GB2312" w:cs="黑体"/>
                <w:b w:val="0"/>
                <w:bCs w:val="0"/>
                <w:kern w:val="2"/>
                <w:sz w:val="21"/>
                <w:szCs w:val="21"/>
                <w:highlight w:val="none"/>
                <w:lang w:val="en-US" w:eastAsia="zh-CN" w:bidi="ar-SA"/>
              </w:rPr>
            </w:pPr>
            <w:r>
              <w:rPr>
                <w:rFonts w:ascii="仿宋_GB2312" w:hAnsi="仿宋_GB2312" w:eastAsia="仿宋_GB2312" w:cs="仿宋_GB2312"/>
                <w:b w:val="0"/>
                <w:bCs w:val="0"/>
                <w:kern w:val="0"/>
                <w:sz w:val="21"/>
                <w:szCs w:val="21"/>
                <w:highlight w:val="none"/>
              </w:rPr>
              <w:t>3</w:t>
            </w:r>
            <w:r>
              <w:rPr>
                <w:rFonts w:hint="eastAsia" w:ascii="仿宋_GB2312" w:hAnsi="仿宋_GB2312" w:eastAsia="仿宋_GB2312" w:cs="仿宋_GB2312"/>
                <w:b w:val="0"/>
                <w:bCs w:val="0"/>
                <w:kern w:val="0"/>
                <w:sz w:val="21"/>
                <w:szCs w:val="21"/>
                <w:highlight w:val="none"/>
              </w:rPr>
              <w:t>.2022年6月2日，印发《青岛市城市排水“两个清零、一个提标”三年攻坚行动方案》，对全市雨污合流管网改造和污水厂提标改造进行了部署安排。2022年，环胶州湾建成区市政雨污合流管网</w:t>
            </w:r>
            <w:r>
              <w:rPr>
                <w:rFonts w:hint="eastAsia" w:ascii="仿宋_GB2312" w:hAnsi="仿宋_GB2312" w:eastAsia="仿宋_GB2312" w:cs="仿宋_GB2312"/>
                <w:b w:val="0"/>
                <w:bCs w:val="0"/>
                <w:kern w:val="0"/>
                <w:sz w:val="21"/>
                <w:szCs w:val="21"/>
                <w:highlight w:val="none"/>
                <w:lang w:eastAsia="zh-CN"/>
              </w:rPr>
              <w:t>完成</w:t>
            </w:r>
            <w:r>
              <w:rPr>
                <w:rFonts w:hint="eastAsia" w:ascii="仿宋_GB2312" w:hAnsi="仿宋_GB2312" w:eastAsia="仿宋_GB2312" w:cs="仿宋_GB2312"/>
                <w:b w:val="0"/>
                <w:bCs w:val="0"/>
                <w:kern w:val="0"/>
                <w:sz w:val="21"/>
                <w:szCs w:val="21"/>
                <w:highlight w:val="none"/>
              </w:rPr>
              <w:t>改造</w:t>
            </w:r>
            <w:r>
              <w:rPr>
                <w:rFonts w:hint="eastAsia" w:ascii="仿宋_GB2312" w:hAnsi="仿宋_GB2312" w:eastAsia="仿宋_GB2312" w:cs="仿宋_GB2312"/>
                <w:b w:val="0"/>
                <w:bCs w:val="0"/>
                <w:kern w:val="0"/>
                <w:sz w:val="21"/>
                <w:szCs w:val="21"/>
                <w:highlight w:val="none"/>
                <w:lang w:eastAsia="zh-CN"/>
              </w:rPr>
              <w:t>任务，共改造</w:t>
            </w:r>
            <w:r>
              <w:rPr>
                <w:rFonts w:hint="eastAsia" w:ascii="仿宋_GB2312" w:hAnsi="仿宋_GB2312" w:eastAsia="仿宋_GB2312" w:cs="仿宋_GB2312"/>
                <w:b w:val="0"/>
                <w:bCs w:val="0"/>
                <w:kern w:val="0"/>
                <w:sz w:val="21"/>
                <w:szCs w:val="21"/>
                <w:highlight w:val="none"/>
              </w:rPr>
              <w:t>34.54公里。尾水排入胶州湾的城市污水处理厂共1</w:t>
            </w:r>
            <w:r>
              <w:rPr>
                <w:rFonts w:hint="eastAsia" w:ascii="仿宋_GB2312" w:hAnsi="仿宋_GB2312" w:eastAsia="仿宋_GB2312" w:cs="仿宋_GB2312"/>
                <w:b w:val="0"/>
                <w:bCs w:val="0"/>
                <w:kern w:val="0"/>
                <w:sz w:val="21"/>
                <w:szCs w:val="21"/>
                <w:highlight w:val="none"/>
                <w:lang w:val="en-US" w:eastAsia="zh-CN"/>
              </w:rPr>
              <w:t>5</w:t>
            </w:r>
            <w:r>
              <w:rPr>
                <w:rFonts w:hint="eastAsia" w:ascii="仿宋_GB2312" w:hAnsi="仿宋_GB2312" w:eastAsia="仿宋_GB2312" w:cs="仿宋_GB2312"/>
                <w:b w:val="0"/>
                <w:bCs w:val="0"/>
                <w:kern w:val="0"/>
                <w:sz w:val="21"/>
                <w:szCs w:val="21"/>
                <w:highlight w:val="none"/>
              </w:rPr>
              <w:t>个，其中7个完成提标改造</w:t>
            </w:r>
            <w:r>
              <w:rPr>
                <w:rFonts w:hint="eastAsia" w:ascii="仿宋_GB2312" w:hAnsi="仿宋_GB2312" w:eastAsia="仿宋_GB2312" w:cs="仿宋_GB2312"/>
                <w:b w:val="0"/>
                <w:bCs w:val="0"/>
                <w:kern w:val="0"/>
                <w:sz w:val="21"/>
                <w:szCs w:val="21"/>
                <w:highlight w:val="none"/>
                <w:lang w:eastAsia="zh-CN"/>
              </w:rPr>
              <w:t>，</w:t>
            </w:r>
            <w:r>
              <w:rPr>
                <w:rFonts w:hint="eastAsia" w:ascii="仿宋_GB2312" w:hAnsi="仿宋_GB2312" w:eastAsia="仿宋_GB2312" w:cs="仿宋_GB2312"/>
                <w:b w:val="0"/>
                <w:bCs w:val="0"/>
                <w:kern w:val="0"/>
                <w:sz w:val="21"/>
                <w:szCs w:val="21"/>
                <w:highlight w:val="none"/>
                <w:lang w:val="en-US" w:eastAsia="zh-CN"/>
              </w:rPr>
              <w:t>8</w:t>
            </w:r>
            <w:r>
              <w:rPr>
                <w:rFonts w:hint="eastAsia" w:ascii="仿宋_GB2312" w:hAnsi="仿宋_GB2312" w:eastAsia="仿宋_GB2312" w:cs="仿宋_GB2312"/>
                <w:b w:val="0"/>
                <w:bCs w:val="0"/>
                <w:kern w:val="0"/>
                <w:sz w:val="21"/>
                <w:szCs w:val="21"/>
                <w:highlight w:val="none"/>
              </w:rPr>
              <w:t>个提标改造项目正在建设中。</w:t>
            </w:r>
          </w:p>
        </w:tc>
        <w:tc>
          <w:tcPr>
            <w:tcW w:w="1781" w:type="dxa"/>
            <w:vAlign w:val="center"/>
          </w:tcPr>
          <w:p>
            <w:pPr>
              <w:spacing w:line="320" w:lineRule="exact"/>
              <w:jc w:val="center"/>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pStyle w:val="2"/>
              <w:spacing w:beforeLines="0" w:afterLines="0" w:line="300" w:lineRule="exact"/>
              <w:ind w:firstLine="0" w:firstLineChars="0"/>
              <w:jc w:val="center"/>
              <w:rPr>
                <w:rFonts w:hint="eastAsia" w:ascii="仿宋" w:hAnsi="仿宋" w:eastAsia="黑体" w:cs="仿宋"/>
                <w:b w:val="0"/>
                <w:bCs w:val="0"/>
                <w:sz w:val="21"/>
                <w:szCs w:val="21"/>
                <w:highlight w:val="none"/>
              </w:rPr>
            </w:pPr>
            <w:r>
              <w:rPr>
                <w:rFonts w:hint="eastAsia" w:ascii="仿宋_GB2312" w:eastAsia="仿宋_GB2312"/>
                <w:color w:val="auto"/>
                <w:sz w:val="21"/>
                <w:szCs w:val="21"/>
                <w:lang w:eastAsia="zh-CN"/>
              </w:rPr>
              <w:t>第二轮中央生态环境保护督察</w:t>
            </w:r>
          </w:p>
        </w:tc>
        <w:tc>
          <w:tcPr>
            <w:tcW w:w="755" w:type="dxa"/>
            <w:vAlign w:val="center"/>
          </w:tcPr>
          <w:p>
            <w:pPr>
              <w:spacing w:line="300" w:lineRule="exact"/>
              <w:jc w:val="center"/>
              <w:rPr>
                <w:rFonts w:hint="eastAsia" w:ascii="仿宋" w:hAnsi="仿宋" w:eastAsia="黑体" w:cs="黑体"/>
                <w:b w:val="0"/>
                <w:bCs w:val="0"/>
                <w:kern w:val="2"/>
                <w:sz w:val="21"/>
                <w:szCs w:val="21"/>
                <w:highlight w:val="none"/>
                <w:lang w:val="en-US" w:eastAsia="zh-CN" w:bidi="ar-SA"/>
              </w:rPr>
            </w:pPr>
            <w:r>
              <w:rPr>
                <w:rFonts w:hint="eastAsia" w:ascii="仿宋" w:hAnsi="仿宋" w:eastAsia="黑体" w:cs="仿宋"/>
                <w:b w:val="0"/>
                <w:bCs w:val="0"/>
                <w:sz w:val="21"/>
                <w:szCs w:val="21"/>
                <w:highlight w:val="none"/>
              </w:rPr>
              <w:t>52</w:t>
            </w:r>
          </w:p>
        </w:tc>
        <w:tc>
          <w:tcPr>
            <w:tcW w:w="2674" w:type="dxa"/>
            <w:vAlign w:val="center"/>
          </w:tcPr>
          <w:p>
            <w:pPr>
              <w:spacing w:line="300" w:lineRule="exact"/>
              <w:rPr>
                <w:rFonts w:hint="eastAsia" w:ascii="仿宋" w:hAnsi="仿宋" w:eastAsia="黑体" w:cs="黑体"/>
                <w:b w:val="0"/>
                <w:bCs w:val="0"/>
                <w:kern w:val="2"/>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rPr>
              <w:t>山东省《关于进一步加强山石资源开发管理的意见》要求，已有的山石资源开采矿山2020年年底前全部建成绿色矿山，但2020年年底绿色矿山实际建成率仅为27%。</w:t>
            </w:r>
          </w:p>
        </w:tc>
        <w:tc>
          <w:tcPr>
            <w:tcW w:w="7338" w:type="dxa"/>
            <w:vAlign w:val="center"/>
          </w:tcPr>
          <w:p>
            <w:pPr>
              <w:spacing w:line="300" w:lineRule="exact"/>
              <w:rPr>
                <w:rFonts w:hint="eastAsia" w:ascii="仿宋" w:hAnsi="仿宋" w:eastAsia="仿宋_GB2312" w:cs="黑体"/>
                <w:b w:val="0"/>
                <w:bCs w:val="0"/>
                <w:kern w:val="2"/>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lang w:val="en-US" w:eastAsia="zh-CN"/>
              </w:rPr>
              <w:t>青岛市自然资源和规划局印发《青岛市矿业绿色高质量发展提升行动工作方案》（青自然资规字〔2022〕127号）和《关于建立市级绿色矿山名录库及规范推进全市绿色矿山建设工作的通知》（青自然资规字〔2023〕70号），分类有序推进绿色矿山建设，着力加强动态监管和推荐遴选工作。督促矿山企业严格按照绿色矿山建设实施方案逐项进行建设，并认真开展自查和自评估，按照组织第三方评估、现场核查复核和推荐遴选等程序，开展绿色矿山建设工作，全市13家正常生产、符合建设条件的矿山，全部完成绿色矿山建设任务。其中：3家国家级、2家省级、8家市级绿色矿山。</w:t>
            </w:r>
          </w:p>
        </w:tc>
        <w:tc>
          <w:tcPr>
            <w:tcW w:w="1781" w:type="dxa"/>
            <w:vAlign w:val="center"/>
          </w:tcPr>
          <w:p>
            <w:pPr>
              <w:spacing w:line="320" w:lineRule="exact"/>
              <w:jc w:val="center"/>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pStyle w:val="2"/>
              <w:spacing w:beforeLines="0" w:afterLines="0" w:line="300" w:lineRule="exact"/>
              <w:ind w:firstLine="0" w:firstLineChars="0"/>
              <w:jc w:val="center"/>
              <w:rPr>
                <w:rFonts w:hint="eastAsia" w:ascii="仿宋" w:hAnsi="仿宋" w:eastAsia="黑体" w:cs="仿宋"/>
                <w:b w:val="0"/>
                <w:bCs w:val="0"/>
                <w:sz w:val="21"/>
                <w:szCs w:val="21"/>
                <w:highlight w:val="none"/>
              </w:rPr>
            </w:pPr>
            <w:r>
              <w:rPr>
                <w:rFonts w:hint="eastAsia" w:ascii="仿宋_GB2312" w:eastAsia="仿宋_GB2312"/>
                <w:color w:val="auto"/>
                <w:sz w:val="21"/>
                <w:szCs w:val="21"/>
                <w:lang w:eastAsia="zh-CN"/>
              </w:rPr>
              <w:t>第二轮中央生态环境保护督察</w:t>
            </w:r>
          </w:p>
        </w:tc>
        <w:tc>
          <w:tcPr>
            <w:tcW w:w="755" w:type="dxa"/>
            <w:vAlign w:val="center"/>
          </w:tcPr>
          <w:p>
            <w:pPr>
              <w:spacing w:line="300" w:lineRule="exact"/>
              <w:jc w:val="center"/>
              <w:rPr>
                <w:rFonts w:hint="eastAsia" w:ascii="仿宋" w:hAnsi="仿宋" w:eastAsia="黑体" w:cs="黑体"/>
                <w:b w:val="0"/>
                <w:bCs w:val="0"/>
                <w:kern w:val="2"/>
                <w:sz w:val="21"/>
                <w:szCs w:val="21"/>
                <w:highlight w:val="none"/>
                <w:lang w:val="en-US" w:eastAsia="zh-CN" w:bidi="ar-SA"/>
              </w:rPr>
            </w:pPr>
            <w:r>
              <w:rPr>
                <w:rFonts w:hint="eastAsia" w:ascii="仿宋" w:hAnsi="仿宋" w:eastAsia="黑体" w:cs="仿宋"/>
                <w:b w:val="0"/>
                <w:bCs w:val="0"/>
                <w:sz w:val="21"/>
                <w:szCs w:val="21"/>
                <w:highlight w:val="none"/>
              </w:rPr>
              <w:t>65</w:t>
            </w:r>
          </w:p>
        </w:tc>
        <w:tc>
          <w:tcPr>
            <w:tcW w:w="2674" w:type="dxa"/>
            <w:vAlign w:val="center"/>
          </w:tcPr>
          <w:p>
            <w:pPr>
              <w:spacing w:line="300" w:lineRule="exact"/>
              <w:rPr>
                <w:rFonts w:hint="eastAsia" w:ascii="仿宋" w:hAnsi="仿宋" w:eastAsia="黑体" w:cs="黑体"/>
                <w:b w:val="0"/>
                <w:bCs w:val="0"/>
                <w:kern w:val="2"/>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rPr>
              <w:t>农业面源污染防治工作推进不实。省农业农村厅在部署废弃农膜全面回收利用工作中放宽要求，废弃农膜回收贮运和综合利用网络建设工作落实不到位，被禁用的0.01毫米以下聚乙烯地膜仍在普遍销售使用。</w:t>
            </w:r>
          </w:p>
        </w:tc>
        <w:tc>
          <w:tcPr>
            <w:tcW w:w="7338" w:type="dxa"/>
            <w:vAlign w:val="center"/>
          </w:tcPr>
          <w:p>
            <w:pPr>
              <w:spacing w:line="300" w:lineRule="exact"/>
              <w:rPr>
                <w:rFonts w:hint="eastAsia" w:ascii="仿宋_GB2312" w:hAnsi="仿宋_GB2312" w:eastAsia="仿宋_GB2312" w:cs="仿宋_GB2312"/>
                <w:b w:val="0"/>
                <w:bCs w:val="0"/>
                <w:kern w:val="0"/>
                <w:sz w:val="21"/>
                <w:szCs w:val="21"/>
                <w:highlight w:val="none"/>
              </w:rPr>
            </w:pPr>
            <w:r>
              <w:rPr>
                <w:rFonts w:hint="eastAsia" w:ascii="仿宋_GB2312" w:hAnsi="仿宋_GB2312" w:eastAsia="仿宋_GB2312" w:cs="仿宋_GB2312"/>
                <w:b w:val="0"/>
                <w:bCs w:val="0"/>
                <w:kern w:val="0"/>
                <w:sz w:val="21"/>
                <w:szCs w:val="21"/>
                <w:highlight w:val="none"/>
              </w:rPr>
              <w:t>1.2022年3月中旬，青岛市完成了全市农膜回收利用体系摸底调查，在此基础上，制定了全市农膜污染防治工作措施。</w:t>
            </w:r>
          </w:p>
          <w:p>
            <w:pPr>
              <w:pStyle w:val="3"/>
              <w:widowControl/>
              <w:wordWrap/>
              <w:adjustRightInd w:val="0"/>
              <w:snapToGrid w:val="0"/>
              <w:spacing w:line="300" w:lineRule="exact"/>
              <w:textAlignment w:val="auto"/>
              <w:rPr>
                <w:rFonts w:ascii="仿宋_GB2312" w:hAnsi="仿宋_GB2312" w:eastAsia="仿宋_GB2312" w:cs="仿宋_GB2312"/>
                <w:b w:val="0"/>
                <w:bCs w:val="0"/>
                <w:kern w:val="0"/>
                <w:sz w:val="21"/>
                <w:szCs w:val="21"/>
                <w:highlight w:val="none"/>
              </w:rPr>
            </w:pPr>
            <w:r>
              <w:rPr>
                <w:rFonts w:hint="eastAsia" w:ascii="仿宋_GB2312" w:hAnsi="仿宋_GB2312" w:eastAsia="仿宋_GB2312" w:cs="仿宋_GB2312"/>
                <w:b w:val="0"/>
                <w:bCs w:val="0"/>
                <w:kern w:val="0"/>
                <w:sz w:val="21"/>
                <w:szCs w:val="21"/>
                <w:highlight w:val="none"/>
              </w:rPr>
              <w:t>2.青岛市农业农村局印发了《青岛市农药肥料包装废弃物和废旧农膜回收净化行动方案》（青农字〔2022〕6号），在全市范围内组织开展废旧农膜和农药包装废弃物回收净化行动。下发了《青岛市农药包装废弃物和废旧农膜回收处置三年攻坚行动方案（2022—2024年）》，制定了废旧农膜回收处置补贴项目实施方案。制定下发了《关于做好2023年农药包装废弃物和废旧农膜处置工作的通知》等一系列文件，全面部署农膜科学使用、依法销售、规范回收等年度重点工作。</w:t>
            </w:r>
            <w:r>
              <w:rPr>
                <w:rFonts w:hint="eastAsia" w:ascii="仿宋_GB2312" w:hAnsi="仿宋" w:eastAsia="仿宋_GB2312" w:cs="仿宋"/>
                <w:b w:val="0"/>
                <w:bCs w:val="0"/>
                <w:snapToGrid w:val="0"/>
                <w:color w:val="auto"/>
                <w:kern w:val="0"/>
                <w:sz w:val="21"/>
                <w:szCs w:val="21"/>
                <w:highlight w:val="none"/>
              </w:rPr>
              <w:t>抓住春播、夏种、秋收等重要农事节点，全域开展废旧农膜、农药包装废弃物回收清理专项整治行动。</w:t>
            </w:r>
            <w:r>
              <w:rPr>
                <w:rFonts w:hint="eastAsia" w:ascii="仿宋_GB2312" w:hAnsi="仿宋_GB2312" w:eastAsia="仿宋_GB2312" w:cs="仿宋_GB2312"/>
                <w:b w:val="0"/>
                <w:bCs w:val="0"/>
                <w:kern w:val="0"/>
                <w:sz w:val="21"/>
                <w:szCs w:val="21"/>
                <w:highlight w:val="none"/>
              </w:rPr>
              <w:t>到2023年底，全市建成农业废弃物回收储运中心11处、废旧农膜回收站187处，构建起涉农区（市）、镇（街）、村（居）三级回收体系</w:t>
            </w:r>
            <w:r>
              <w:rPr>
                <w:rFonts w:hint="eastAsia" w:ascii="仿宋_GB2312" w:hAnsi="仿宋_GB2312" w:eastAsia="仿宋_GB2312" w:cs="仿宋_GB2312"/>
                <w:b w:val="0"/>
                <w:bCs w:val="0"/>
                <w:kern w:val="0"/>
                <w:sz w:val="21"/>
                <w:szCs w:val="21"/>
                <w:highlight w:val="none"/>
                <w:lang w:eastAsia="zh-CN"/>
              </w:rPr>
              <w:t>，</w:t>
            </w:r>
            <w:r>
              <w:rPr>
                <w:rFonts w:hint="eastAsia" w:ascii="仿宋_GB2312" w:hAnsi="仿宋" w:eastAsia="仿宋_GB2312" w:cs="仿宋"/>
                <w:b w:val="0"/>
                <w:bCs w:val="0"/>
                <w:snapToGrid w:val="0"/>
                <w:color w:val="auto"/>
                <w:kern w:val="0"/>
                <w:sz w:val="21"/>
                <w:szCs w:val="21"/>
                <w:highlight w:val="none"/>
              </w:rPr>
              <w:t>全市废旧地膜回收率稳定在90%以上</w:t>
            </w:r>
            <w:r>
              <w:rPr>
                <w:rFonts w:hint="eastAsia" w:ascii="仿宋_GB2312" w:hAnsi="仿宋" w:eastAsia="仿宋_GB2312" w:cs="仿宋"/>
                <w:b w:val="0"/>
                <w:bCs w:val="0"/>
                <w:snapToGrid w:val="0"/>
                <w:color w:val="auto"/>
                <w:kern w:val="0"/>
                <w:sz w:val="21"/>
                <w:szCs w:val="21"/>
                <w:highlight w:val="none"/>
                <w:lang w:eastAsia="zh-CN"/>
              </w:rPr>
              <w:t>，</w:t>
            </w:r>
            <w:r>
              <w:rPr>
                <w:rFonts w:hint="eastAsia" w:ascii="仿宋_GB2312" w:hAnsi="仿宋" w:eastAsia="仿宋_GB2312" w:cs="仿宋"/>
                <w:b w:val="0"/>
                <w:bCs w:val="0"/>
                <w:snapToGrid w:val="0"/>
                <w:color w:val="auto"/>
                <w:kern w:val="0"/>
                <w:sz w:val="21"/>
                <w:szCs w:val="21"/>
                <w:highlight w:val="none"/>
              </w:rPr>
              <w:t>完成年度任务目标。</w:t>
            </w:r>
          </w:p>
          <w:p>
            <w:pPr>
              <w:spacing w:line="300" w:lineRule="exact"/>
              <w:rPr>
                <w:rFonts w:hint="eastAsia" w:ascii="仿宋_GB2312" w:hAnsi="仿宋_GB2312" w:eastAsia="仿宋_GB2312" w:cs="仿宋_GB2312"/>
                <w:b w:val="0"/>
                <w:bCs w:val="0"/>
                <w:kern w:val="0"/>
                <w:sz w:val="21"/>
                <w:szCs w:val="21"/>
                <w:highlight w:val="none"/>
              </w:rPr>
            </w:pPr>
            <w:r>
              <w:rPr>
                <w:rFonts w:hint="eastAsia" w:ascii="仿宋_GB2312" w:hAnsi="仿宋_GB2312" w:eastAsia="仿宋_GB2312" w:cs="仿宋_GB2312"/>
                <w:b w:val="0"/>
                <w:bCs w:val="0"/>
                <w:kern w:val="0"/>
                <w:sz w:val="21"/>
                <w:szCs w:val="21"/>
                <w:highlight w:val="none"/>
              </w:rPr>
              <w:t>3.</w:t>
            </w:r>
            <w:r>
              <w:rPr>
                <w:rFonts w:hint="eastAsia" w:ascii="仿宋_GB2312" w:hAnsi="仿宋_GB2312" w:eastAsia="仿宋_GB2312" w:cs="仿宋_GB2312"/>
                <w:b w:val="0"/>
                <w:bCs w:val="0"/>
                <w:kern w:val="0"/>
                <w:sz w:val="21"/>
                <w:szCs w:val="21"/>
                <w:highlight w:val="none"/>
                <w:lang w:val="en-US" w:eastAsia="zh-CN" w:bidi="ar-SA"/>
              </w:rPr>
              <w:t>全面落实《开展农膜科学使用和废旧农膜回收专项整治行动通知》，将0.01毫米以下聚乙烯农用地膜列入农资打假专项治理行动监管重点内容，2023年，出动执法人员1335人次，执法检查398次。</w:t>
            </w:r>
          </w:p>
          <w:p>
            <w:pPr>
              <w:spacing w:line="300" w:lineRule="exact"/>
              <w:rPr>
                <w:rFonts w:hint="eastAsia" w:ascii="仿宋_GB2312" w:hAnsi="仿宋_GB2312" w:eastAsia="仿宋_GB2312" w:cs="仿宋_GB2312"/>
                <w:b w:val="0"/>
                <w:bCs w:val="0"/>
                <w:color w:val="000000"/>
                <w:kern w:val="0"/>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rPr>
              <w:t>4.以农业科技大集、放心农资下乡、农业科技活动周等活动为载体，组织</w:t>
            </w:r>
            <w:r>
              <w:rPr>
                <w:rFonts w:hint="eastAsia" w:ascii="仿宋_GB2312" w:hAnsi="仿宋_GB2312" w:eastAsia="仿宋_GB2312" w:cs="仿宋_GB2312"/>
                <w:b w:val="0"/>
                <w:bCs w:val="0"/>
                <w:kern w:val="0"/>
                <w:sz w:val="21"/>
                <w:szCs w:val="21"/>
                <w:highlight w:val="none"/>
                <w:lang w:eastAsia="zh-CN"/>
              </w:rPr>
              <w:t>涉农区（市）</w:t>
            </w:r>
            <w:r>
              <w:rPr>
                <w:rFonts w:hint="eastAsia" w:ascii="仿宋_GB2312" w:hAnsi="仿宋_GB2312" w:eastAsia="仿宋_GB2312" w:cs="仿宋_GB2312"/>
                <w:b w:val="0"/>
                <w:bCs w:val="0"/>
                <w:kern w:val="0"/>
                <w:sz w:val="21"/>
                <w:szCs w:val="21"/>
                <w:highlight w:val="none"/>
              </w:rPr>
              <w:t>，利用广播、电视、网络等媒体和采取散发明白纸、宣传栏、微信等多种形式，开展科学使用农膜和废旧农膜回收处置宣传活动</w:t>
            </w:r>
            <w:r>
              <w:rPr>
                <w:rFonts w:hint="eastAsia" w:ascii="仿宋_GB2312" w:hAnsi="仿宋_GB2312" w:eastAsia="仿宋_GB2312" w:cs="仿宋_GB2312"/>
                <w:b w:val="0"/>
                <w:bCs w:val="0"/>
                <w:kern w:val="0"/>
                <w:sz w:val="21"/>
                <w:szCs w:val="21"/>
                <w:highlight w:val="none"/>
                <w:lang w:eastAsia="zh-CN"/>
              </w:rPr>
              <w:t>。</w:t>
            </w:r>
            <w:r>
              <w:rPr>
                <w:rFonts w:hint="eastAsia" w:ascii="仿宋_GB2312" w:hAnsi="仿宋_GB2312" w:eastAsia="仿宋_GB2312" w:cs="仿宋_GB2312"/>
                <w:b w:val="0"/>
                <w:bCs w:val="0"/>
                <w:kern w:val="0"/>
                <w:sz w:val="21"/>
                <w:szCs w:val="21"/>
                <w:highlight w:val="none"/>
                <w:lang w:val="en-US" w:eastAsia="zh-CN"/>
              </w:rPr>
              <w:t>2023年，出动技术服务人员1350人次，技术指导3601次，散发宣传材料10万余份。</w:t>
            </w:r>
          </w:p>
        </w:tc>
        <w:tc>
          <w:tcPr>
            <w:tcW w:w="1781" w:type="dxa"/>
            <w:vAlign w:val="center"/>
          </w:tcPr>
          <w:p>
            <w:pPr>
              <w:spacing w:line="360" w:lineRule="exact"/>
              <w:jc w:val="center"/>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0"/>
                <w:sz w:val="21"/>
                <w:szCs w:val="21"/>
                <w:highlight w:val="none"/>
              </w:rPr>
              <w:t>达到序时进度</w:t>
            </w:r>
          </w:p>
        </w:tc>
      </w:tr>
    </w:tbl>
    <w:p>
      <w:pPr>
        <w:rPr>
          <w:b w:val="0"/>
          <w:bCs w:val="0"/>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44EB0"/>
    <w:multiLevelType w:val="singleLevel"/>
    <w:tmpl w:val="62344E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YzRmZjMzNGEzNjAwN2Q0ZmI5OTk1MGJmNTZlNDIifQ=="/>
  </w:docVars>
  <w:rsids>
    <w:rsidRoot w:val="1AF039CB"/>
    <w:rsid w:val="04544B29"/>
    <w:rsid w:val="04B638C9"/>
    <w:rsid w:val="069C5CE8"/>
    <w:rsid w:val="08177753"/>
    <w:rsid w:val="0D2A0A24"/>
    <w:rsid w:val="0DC950AB"/>
    <w:rsid w:val="0E2322C1"/>
    <w:rsid w:val="0EA53794"/>
    <w:rsid w:val="1061105E"/>
    <w:rsid w:val="11DA32D7"/>
    <w:rsid w:val="155B5497"/>
    <w:rsid w:val="16C23AE4"/>
    <w:rsid w:val="1A422421"/>
    <w:rsid w:val="1AF039CB"/>
    <w:rsid w:val="236F5E31"/>
    <w:rsid w:val="262E46B0"/>
    <w:rsid w:val="26F43175"/>
    <w:rsid w:val="272107C1"/>
    <w:rsid w:val="27581FFE"/>
    <w:rsid w:val="299C2131"/>
    <w:rsid w:val="2C013BC2"/>
    <w:rsid w:val="2D017EE1"/>
    <w:rsid w:val="2FA06577"/>
    <w:rsid w:val="2FEE50B1"/>
    <w:rsid w:val="3013786F"/>
    <w:rsid w:val="325B51AB"/>
    <w:rsid w:val="355A2295"/>
    <w:rsid w:val="37720706"/>
    <w:rsid w:val="389C272D"/>
    <w:rsid w:val="3A430524"/>
    <w:rsid w:val="3AC06BF4"/>
    <w:rsid w:val="3B060262"/>
    <w:rsid w:val="3E027FCA"/>
    <w:rsid w:val="400C38A3"/>
    <w:rsid w:val="45796508"/>
    <w:rsid w:val="47064A15"/>
    <w:rsid w:val="49A2565E"/>
    <w:rsid w:val="49B22075"/>
    <w:rsid w:val="4BE87A96"/>
    <w:rsid w:val="4CAE3FDC"/>
    <w:rsid w:val="4CD01F92"/>
    <w:rsid w:val="4EDB630D"/>
    <w:rsid w:val="504F0C4F"/>
    <w:rsid w:val="526B4FC6"/>
    <w:rsid w:val="52DC4B00"/>
    <w:rsid w:val="535321C1"/>
    <w:rsid w:val="540B196F"/>
    <w:rsid w:val="54411E49"/>
    <w:rsid w:val="55481377"/>
    <w:rsid w:val="56AD7D44"/>
    <w:rsid w:val="57236B81"/>
    <w:rsid w:val="575A58DF"/>
    <w:rsid w:val="5D790367"/>
    <w:rsid w:val="5E0B78D6"/>
    <w:rsid w:val="5F3209BE"/>
    <w:rsid w:val="600B06A1"/>
    <w:rsid w:val="604D6B8C"/>
    <w:rsid w:val="61AD1FCB"/>
    <w:rsid w:val="61DD3E1F"/>
    <w:rsid w:val="62820D2A"/>
    <w:rsid w:val="63883E5B"/>
    <w:rsid w:val="663C4348"/>
    <w:rsid w:val="6CDA2B7C"/>
    <w:rsid w:val="6D496A5A"/>
    <w:rsid w:val="71835E4A"/>
    <w:rsid w:val="73B33DFC"/>
    <w:rsid w:val="770B4B5C"/>
    <w:rsid w:val="78BA359E"/>
    <w:rsid w:val="79E4560A"/>
    <w:rsid w:val="79EC2A16"/>
    <w:rsid w:val="7F5E4C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32"/>
      <w:szCs w:val="3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pPr>
    <w:rPr>
      <w:rFonts w:ascii="Times New Roman" w:hAnsi="Times New Roman"/>
      <w:szCs w:val="20"/>
    </w:rPr>
  </w:style>
  <w:style w:type="paragraph" w:styleId="3">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4466</Words>
  <Characters>4820</Characters>
  <Lines>0</Lines>
  <Paragraphs>0</Paragraphs>
  <TotalTime>3</TotalTime>
  <ScaleCrop>false</ScaleCrop>
  <LinksUpToDate>false</LinksUpToDate>
  <CharactersWithSpaces>4820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2024-05-11T07:22:00Z</dcterms:created>
  <dc:creator>朱朱</dc:creator>
  <cp:lastModifiedBy>朱朱</cp:lastModifiedBy>
  <dcterms:modified xsi:type="dcterms:W3CDTF">2024-06-17T02:08:42Z</dcterms:modified>
  <dc:title>青岛市中央生态环境保护督察反馈意见正在整改任务推进情况表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35504EEDC9E64E3CAF4A07AE8E33C098_13</vt:lpwstr>
  </property>
</Properties>
</file>